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DB6681" w:rsidRDefault="00DB6681">
      <w:pPr>
        <w:widowControl/>
        <w:tabs>
          <w:tab w:val="center" w:pos="4680"/>
          <w:tab w:val="left" w:pos="5040"/>
          <w:tab w:val="left" w:pos="5760"/>
          <w:tab w:val="left" w:pos="6480"/>
          <w:tab w:val="left" w:pos="7200"/>
          <w:tab w:val="left" w:pos="7920"/>
          <w:tab w:val="left" w:pos="8640"/>
          <w:tab w:val="left" w:pos="9360"/>
        </w:tabs>
        <w:jc w:val="both"/>
      </w:pPr>
    </w:p>
    <w:p w14:paraId="00000002" w14:textId="77777777" w:rsidR="00DB6681" w:rsidRDefault="00000000">
      <w:pPr>
        <w:widowControl/>
        <w:tabs>
          <w:tab w:val="center" w:pos="4680"/>
          <w:tab w:val="left" w:pos="5040"/>
          <w:tab w:val="left" w:pos="5760"/>
          <w:tab w:val="left" w:pos="6480"/>
          <w:tab w:val="left" w:pos="7200"/>
          <w:tab w:val="left" w:pos="7920"/>
          <w:tab w:val="left" w:pos="8640"/>
          <w:tab w:val="left" w:pos="9360"/>
        </w:tabs>
        <w:jc w:val="both"/>
      </w:pPr>
      <w:r>
        <w:tab/>
      </w:r>
      <w:r>
        <w:rPr>
          <w:b/>
        </w:rPr>
        <w:t>CONFIDENTIALITY AGREEMENT</w:t>
      </w:r>
    </w:p>
    <w:p w14:paraId="00000003" w14:textId="77777777" w:rsidR="00DB6681" w:rsidRDefault="00000000">
      <w:pPr>
        <w:widowControl/>
        <w:tabs>
          <w:tab w:val="center" w:pos="4680"/>
          <w:tab w:val="left" w:pos="5040"/>
          <w:tab w:val="left" w:pos="5760"/>
          <w:tab w:val="left" w:pos="6480"/>
          <w:tab w:val="left" w:pos="7200"/>
          <w:tab w:val="left" w:pos="7920"/>
          <w:tab w:val="left" w:pos="8640"/>
          <w:tab w:val="left" w:pos="9360"/>
        </w:tabs>
        <w:jc w:val="both"/>
      </w:pPr>
      <w:r>
        <w:rPr>
          <w:b/>
        </w:rPr>
        <w:tab/>
      </w:r>
    </w:p>
    <w:p w14:paraId="00000004" w14:textId="686F785C" w:rsidR="00DB6681" w:rsidRDefault="00000000">
      <w:r>
        <w:t>This CONFIDENTIALITY AGREEMENT (the “</w:t>
      </w:r>
      <w:r>
        <w:rPr>
          <w:b/>
          <w:i/>
        </w:rPr>
        <w:t>Agreement</w:t>
      </w:r>
      <w:r>
        <w:t xml:space="preserve">”), is dated as of [               </w:t>
      </w:r>
      <w:proofErr w:type="gramStart"/>
      <w:r>
        <w:t xml:space="preserve">  ]</w:t>
      </w:r>
      <w:proofErr w:type="gramEnd"/>
      <w:r>
        <w:t>, 202</w:t>
      </w:r>
      <w:r w:rsidR="00B47D3B">
        <w:t>6</w:t>
      </w:r>
      <w:r>
        <w:t>, between Highfield Energy Inc (the “</w:t>
      </w:r>
      <w:r>
        <w:rPr>
          <w:b/>
          <w:i/>
        </w:rPr>
        <w:t>Company</w:t>
      </w:r>
      <w:r>
        <w:t>”), and</w:t>
      </w:r>
      <w:r w:rsidR="003B49BB">
        <w:t xml:space="preserve"> </w:t>
      </w:r>
      <w:r>
        <w:t>[             ]  (the “</w:t>
      </w:r>
      <w:r>
        <w:rPr>
          <w:b/>
          <w:i/>
        </w:rPr>
        <w:t>Counterparty</w:t>
      </w:r>
      <w:r>
        <w:t xml:space="preserve">”), each a </w:t>
      </w:r>
      <w:r>
        <w:rPr>
          <w:b/>
          <w:i/>
        </w:rPr>
        <w:t>“Party”</w:t>
      </w:r>
      <w:r>
        <w:t xml:space="preserve"> and together the “</w:t>
      </w:r>
      <w:r>
        <w:rPr>
          <w:b/>
          <w:i/>
        </w:rPr>
        <w:t>Parties</w:t>
      </w:r>
      <w:r>
        <w:t>”.</w:t>
      </w:r>
    </w:p>
    <w:p w14:paraId="00000005"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06" w14:textId="77777777" w:rsidR="00DB6681" w:rsidRDefault="00000000">
      <w:pPr>
        <w:widowControl/>
        <w:tabs>
          <w:tab w:val="center" w:pos="4680"/>
          <w:tab w:val="left" w:pos="5040"/>
          <w:tab w:val="left" w:pos="5760"/>
          <w:tab w:val="left" w:pos="6480"/>
          <w:tab w:val="left" w:pos="7200"/>
          <w:tab w:val="left" w:pos="7920"/>
          <w:tab w:val="left" w:pos="8640"/>
          <w:tab w:val="left" w:pos="9360"/>
        </w:tabs>
        <w:jc w:val="both"/>
      </w:pPr>
      <w:r>
        <w:tab/>
      </w:r>
      <w:r>
        <w:rPr>
          <w:b/>
        </w:rPr>
        <w:t xml:space="preserve">W I T N E S </w:t>
      </w:r>
      <w:proofErr w:type="spellStart"/>
      <w:r>
        <w:rPr>
          <w:b/>
        </w:rPr>
        <w:t>S</w:t>
      </w:r>
      <w:proofErr w:type="spellEnd"/>
      <w:r>
        <w:rPr>
          <w:b/>
        </w:rPr>
        <w:t xml:space="preserve"> E T H</w:t>
      </w:r>
    </w:p>
    <w:p w14:paraId="00000007"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08" w14:textId="7E4FFF83" w:rsidR="00DB6681" w:rsidRDefault="00000000" w:rsidP="003B49BB">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i/>
          <w:highlight w:val="yellow"/>
        </w:rPr>
      </w:pPr>
      <w:proofErr w:type="gramStart"/>
      <w:r>
        <w:t>WHEREAS,</w:t>
      </w:r>
      <w:proofErr w:type="gramEnd"/>
      <w:r>
        <w:t xml:space="preserve"> the Parties intend to enter into discussions and exchange technical, commercial, financial, and other confidential information with </w:t>
      </w:r>
      <w:r w:rsidR="003B49BB">
        <w:t>to the prospective sale by the Company</w:t>
      </w:r>
      <w:r w:rsidR="003B49BB">
        <w:t xml:space="preserve"> </w:t>
      </w:r>
      <w:r w:rsidR="003B49BB">
        <w:t>of a single project or portfolio of projects in the Company’s development pipeline</w:t>
      </w:r>
      <w:r w:rsidR="003B49BB">
        <w:t xml:space="preserve"> </w:t>
      </w:r>
      <w:r>
        <w:t>(the “</w:t>
      </w:r>
      <w:r>
        <w:rPr>
          <w:b/>
          <w:i/>
        </w:rPr>
        <w:t>Purpose</w:t>
      </w:r>
      <w:r>
        <w:t xml:space="preserve">”); </w:t>
      </w:r>
    </w:p>
    <w:p w14:paraId="00000009"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0A"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WHEREAS, to permit the Parties to fully evaluate the potential merits of the Purpose, each Party will cause to be furnished Evaluation Material (as defined below) to the other Party and their Representatives (as defined below</w:t>
      </w:r>
      <w:proofErr w:type="gramStart"/>
      <w:r>
        <w:t>);</w:t>
      </w:r>
      <w:proofErr w:type="gramEnd"/>
    </w:p>
    <w:p w14:paraId="0000000B"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0C"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
        <w:t>NOW THEREFORE, in consideration of the premises and the mutual agreements contained herein, the Parties agree as follows:</w:t>
      </w:r>
    </w:p>
    <w:p w14:paraId="0000000D"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0E"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As used herein, “</w:t>
      </w:r>
      <w:r>
        <w:rPr>
          <w:b/>
          <w:i/>
          <w:color w:val="000000"/>
        </w:rPr>
        <w:t>Evaluation Material</w:t>
      </w:r>
      <w:r>
        <w:rPr>
          <w:color w:val="000000"/>
        </w:rPr>
        <w:t>” means (</w:t>
      </w:r>
      <w:proofErr w:type="spellStart"/>
      <w:r>
        <w:rPr>
          <w:color w:val="000000"/>
        </w:rPr>
        <w:t>i</w:t>
      </w:r>
      <w:proofErr w:type="spellEnd"/>
      <w:r>
        <w:rPr>
          <w:color w:val="000000"/>
        </w:rPr>
        <w:t>) all information, legal opinions, memoranda, notes, analyses, returns, workpapers, documents, data, reports, interpretations, financial statements, forecasts, records and other materials (whether in oral or written form, electronically stored or otherwise) containing or otherwise reflecting information concerning the Purpose, or the Party delivering the information or on whose behalf it is delivered (the “</w:t>
      </w:r>
      <w:r>
        <w:rPr>
          <w:b/>
          <w:i/>
          <w:color w:val="000000"/>
        </w:rPr>
        <w:t>Disclosing Party</w:t>
      </w:r>
      <w:r>
        <w:rPr>
          <w:color w:val="000000"/>
        </w:rPr>
        <w:t>”), or the Disclosing Party’s affiliates or subsidiaries provided by the Disclosing Party or its Representatives to the Party receiving the information or on whose behalf it is being received (the “</w:t>
      </w:r>
      <w:r>
        <w:rPr>
          <w:b/>
          <w:i/>
          <w:color w:val="000000"/>
        </w:rPr>
        <w:t>Receiving Party</w:t>
      </w:r>
      <w:r>
        <w:rPr>
          <w:color w:val="000000"/>
        </w:rPr>
        <w:t xml:space="preserve">”) or its Representatives, and (ii) all notes, analyses, compilations, studies, interpretations or other documents in tangible form (whether in written form, electronically stored or otherwise), prepared by the Receiving Party or its Representatives or others which contain, are based upon (in whole or in part) or otherwise reflect such information, in either case which has previously been or in the future is furnished to or otherwise acquired by the Receiving Party or its Representatives.  </w:t>
      </w:r>
      <w:bookmarkStart w:id="0" w:name="bookmark=id.gjdgxs" w:colFirst="0" w:colLast="0"/>
      <w:bookmarkEnd w:id="0"/>
    </w:p>
    <w:p w14:paraId="0000000F"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10" w14:textId="77777777" w:rsidR="00DB6681" w:rsidRDefault="00000000">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r>
        <w:rPr>
          <w:color w:val="000000"/>
        </w:rPr>
        <w:t>Notwithstanding the foregoing, the following will not constitute “</w:t>
      </w:r>
      <w:r>
        <w:rPr>
          <w:b/>
          <w:i/>
          <w:color w:val="000000"/>
        </w:rPr>
        <w:t>Evaluation Material</w:t>
      </w:r>
      <w:r>
        <w:rPr>
          <w:color w:val="000000"/>
        </w:rPr>
        <w:t>” for purposes of this Agreement:</w:t>
      </w:r>
    </w:p>
    <w:p w14:paraId="00000011"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12"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Information which was already in the possession of the Receiving Party or its Representatives prior to the date hereof and which was not acquired or obtained from the Disclosing Party or its Representatives, provided that such information is not, to the Receiving Party’s knowledge, subject to another confidentiality agreement with or other contractual, legal or fiduciary obligation of confidentiality to the Disclosing </w:t>
      </w:r>
      <w:proofErr w:type="gramStart"/>
      <w:r>
        <w:rPr>
          <w:color w:val="000000"/>
        </w:rPr>
        <w:t>Party;</w:t>
      </w:r>
      <w:proofErr w:type="gramEnd"/>
    </w:p>
    <w:p w14:paraId="00000013"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lastRenderedPageBreak/>
        <w:t xml:space="preserve">Information which is obtained by the Receiving Party or its Representatives from a source other than the Disclosing Party or its Representatives who, insofar as is known to the Receiving Party, is not prohibited from transmitting the information to the Receiving Party or its Representatives by a contractual, legal or fiduciary </w:t>
      </w:r>
      <w:proofErr w:type="gramStart"/>
      <w:r>
        <w:rPr>
          <w:color w:val="000000"/>
        </w:rPr>
        <w:t>obligation;</w:t>
      </w:r>
      <w:proofErr w:type="gramEnd"/>
    </w:p>
    <w:p w14:paraId="00000014"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Information which is or becomes generally available to the public other than </w:t>
      </w:r>
      <w:proofErr w:type="gramStart"/>
      <w:r>
        <w:rPr>
          <w:color w:val="000000"/>
        </w:rPr>
        <w:t>as a result of</w:t>
      </w:r>
      <w:proofErr w:type="gramEnd"/>
      <w:r>
        <w:rPr>
          <w:color w:val="000000"/>
        </w:rPr>
        <w:t xml:space="preserve"> a disclosure by the Receiving Party or its Representatives in violation of the provisions of this Agreement; or</w:t>
      </w:r>
    </w:p>
    <w:p w14:paraId="00000015"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Information which is subsequently independently developed by the Receiving Party’s Representatives who did not have access to the Evaluation Material.</w:t>
      </w:r>
    </w:p>
    <w:p w14:paraId="00000016"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rPr>
          <w:color w:val="000000"/>
        </w:rPr>
      </w:pPr>
    </w:p>
    <w:p w14:paraId="00000017"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As used in this Agreement, “</w:t>
      </w:r>
      <w:r>
        <w:rPr>
          <w:b/>
          <w:i/>
          <w:color w:val="000000"/>
        </w:rPr>
        <w:t>Representatives</w:t>
      </w:r>
      <w:r>
        <w:rPr>
          <w:color w:val="000000"/>
        </w:rPr>
        <w:t xml:space="preserve">” of any Party shall mean the subsidiaries and affiliates of such Party and the respective directors, officers, employees, consultants, attorneys, accountants, investment bankers, financial advisors, </w:t>
      </w:r>
      <w:proofErr w:type="gramStart"/>
      <w:r>
        <w:rPr>
          <w:color w:val="000000"/>
        </w:rPr>
        <w:t>representatives</w:t>
      </w:r>
      <w:proofErr w:type="gramEnd"/>
      <w:r>
        <w:rPr>
          <w:color w:val="000000"/>
        </w:rPr>
        <w:t xml:space="preserve"> or agents of such Party and of such subsidiaries and affiliates.</w:t>
      </w:r>
    </w:p>
    <w:p w14:paraId="00000018"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19"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Except as otherwise expressly provided in this Agreement, without the prior written consent of the Disclosing Party, Evaluation Material (a) will be held in confidence and not disclosed by the Receiving Party or its Representatives to any person other than the Receiving Party and its Representatives who need to know the Evaluation Material to evaluate the Purpose and who are informed of its confidential nature and have been informed by the Receiving Party to treat the Evaluation Material in accordance with the terms of this Agreement and (b) will not be used by the Receiving Party or its Representatives other than in connection with evaluating, negotiating, financing, consummating or implementing the Purpose </w:t>
      </w:r>
      <w:r>
        <w:t>and not for any competitive or commercial purpose</w:t>
      </w:r>
      <w:r>
        <w:rPr>
          <w:color w:val="000000"/>
        </w:rPr>
        <w:t>.  T</w:t>
      </w:r>
      <w:r>
        <w:t xml:space="preserve">he Receiving Party shall not use any of the Evaluation Material in any way or for any purpose (including any competitive or commercial purpose) which is directly or indirectly detrimental to the Disclosing Party or the Disclosing Party’s business or the Disclosing Party’s affiliates.  </w:t>
      </w:r>
      <w:r>
        <w:rPr>
          <w:color w:val="000000"/>
        </w:rPr>
        <w:t>The Receiving Party agrees to be fully responsible for any breach of this Agreement by any of its Representatives.  The term “</w:t>
      </w:r>
      <w:r>
        <w:rPr>
          <w:b/>
          <w:i/>
          <w:color w:val="000000"/>
        </w:rPr>
        <w:t>person</w:t>
      </w:r>
      <w:r>
        <w:rPr>
          <w:color w:val="000000"/>
        </w:rPr>
        <w:t>” as used in this Agreement will be interpreted broadly to include any corporation, company, governmental agency or body, entity, partnership, trust, estate, group or individual.</w:t>
      </w:r>
    </w:p>
    <w:p w14:paraId="0000001A" w14:textId="77777777" w:rsidR="00DB6681" w:rsidRDefault="00DB6681">
      <w:pPr>
        <w:pBdr>
          <w:top w:val="nil"/>
          <w:left w:val="nil"/>
          <w:bottom w:val="nil"/>
          <w:right w:val="nil"/>
          <w:between w:val="nil"/>
        </w:pBdr>
        <w:ind w:left="720"/>
        <w:rPr>
          <w:color w:val="000000"/>
        </w:rPr>
      </w:pPr>
    </w:p>
    <w:p w14:paraId="0000001B"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All Evaluation Material in tangible form (whether in written form, electronically stored or otherwise) provided by the Disclosing Party or its Representatives will be returned by the Receiving Party to the Disclosing Party immediately upon request, except that one copy may be retained for purpose of determining Receiving Party’s compliance with the terms hereof and shall remain subject to the terms of this Agreement.  All Evaluation Material in tangible form, including notes, analyses, compilations, studies or other documents (whether in written form, electronically stored or otherwise) prepared by the Receiving Party or any of its Representatives, and any Evaluation Material not so requested and returned, will be retained by the Receiving Party and kept subject to the terms of this Agreement or, in the Receiving Party’s discretion or upon the Disclosing Party’s request, destroyed (such destruction to be confirmed to the Disclosing Party in writing).  Except as otherwise expressly provided in this Agreement, all retained Evaluation Material (whether </w:t>
      </w:r>
      <w:r>
        <w:rPr>
          <w:color w:val="000000"/>
        </w:rPr>
        <w:lastRenderedPageBreak/>
        <w:t xml:space="preserve">in written form, electronically stored or otherwise) will continue to be subject to this Agreement.  Receiving Party may retain any such Evaluation Material in accordance with applicable law or internal retention policies, or to the extent information is stored in any automatic electronic back-up or storage system and removal or destruction would not be reasonably practical, provided in each case that the Evaluation Material so retained shall remain subject to the terms of this </w:t>
      </w:r>
      <w:proofErr w:type="gramStart"/>
      <w:r>
        <w:rPr>
          <w:color w:val="000000"/>
        </w:rPr>
        <w:t>Agreement</w:t>
      </w:r>
      <w:proofErr w:type="gramEnd"/>
      <w:r>
        <w:rPr>
          <w:color w:val="000000"/>
        </w:rPr>
        <w:t xml:space="preserve">   </w:t>
      </w:r>
    </w:p>
    <w:p w14:paraId="0000001C"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1D"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If the Receiving Party or any of its Representatives are requested or required to disclose any Evaluation Material (or to disclose that any investigation, discussions or negotiations are taking, have taken or will take place concerning the Purpose) pursuant to a subpoena, court order, civil investigative demand or similar judicial process or other oral or written request issued by a court of competent jurisdiction or by an international, national, state or local governmental or regulatory body, the Receiving Party will provide the Disclosing Party with prompt written notice of any such request or requirement so that the Disclosing Party or any of its Representatives may seek an appropriate protective order or other appropriate remedy or waive compliance with the provisions of this Agreement.  If such order or other remedy is not obtained, or the Disclosing Party waives compliance with the provisions of this Agreement, the Receiving Party or its Representatives, as the case may be, will disclose only that portion of the Evaluation Material (or information relating to any such investigation, discussions or negotiations) which it is advised by counsel that it is legally required to so disclose and will exercise reasonable efforts to obtain reliable assurance that confidential treatment will be accorded the information so disclosed.  </w:t>
      </w:r>
    </w:p>
    <w:p w14:paraId="0000001E"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1F"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This Agreement does not constitute or create any obligation of either Party to provide any Evaluation Material or other information to the other Party, but merely defines the rights, </w:t>
      </w:r>
      <w:proofErr w:type="gramStart"/>
      <w:r>
        <w:rPr>
          <w:color w:val="000000"/>
        </w:rPr>
        <w:t>duties</w:t>
      </w:r>
      <w:proofErr w:type="gramEnd"/>
      <w:r>
        <w:rPr>
          <w:color w:val="000000"/>
        </w:rPr>
        <w:t xml:space="preserve"> and obligations of the Parties with respect to the Evaluation Material to the extent it may be disclosed or made available.  Under no circumstances is any Party obligated to disclose or make available to the other Party or its Representatives any information which such Party in its sole discretion determines not to disclose.  The Parties (a) acknowledge that neither Party, nor any Representative of any Party makes any representation or warranty, either express or implied, as to the accuracy or completeness of any Evaluation Material and (b) agree, to the fullest extent permitted by law, that neither Party, nor any Representative of any Party shall have any liability to the other Party or any of the Representatives of the other Party on any basis (including, without limitation, in contract, tort, under federal or state securities laws or otherwise) as a result of the Party’s participation in evaluating the Purpose, the review by either Party or its Representatives or the use of the Evaluation Material by either Party or its Representatives in accordance with the provisions of this Agreement.  Each Party understands and agrees that no contract or agreement providing for the Purpose shall be deemed to exist unless and until a definitive agreement providing for the Purpose (a “</w:t>
      </w:r>
      <w:r>
        <w:rPr>
          <w:b/>
          <w:i/>
          <w:color w:val="000000"/>
        </w:rPr>
        <w:t>Definitive Agreement</w:t>
      </w:r>
      <w:r>
        <w:rPr>
          <w:color w:val="000000"/>
        </w:rPr>
        <w:t xml:space="preserve">”) has been executed and delivered, and each Party hereby waives, in advance, any claims (including, without limitation, breach of contract) in connection with the Purpose unless and until the Parties shall have entered into a Definitive Agreement.  The Parties also agree that unless and until a Definitive Agreement between the Parties has been executed and delivered, neither Party has any legal obligation of any kind whatsoever with respect to the Purpose by virtue of </w:t>
      </w:r>
      <w:r>
        <w:rPr>
          <w:color w:val="000000"/>
        </w:rPr>
        <w:lastRenderedPageBreak/>
        <w:t>this Agreement or any other written or oral expression with respect to the Purpose except, in the case of this Agreement, for the matters specifically agreed to herein.  For purposes of this paragraph, the term “</w:t>
      </w:r>
      <w:r>
        <w:rPr>
          <w:b/>
          <w:i/>
          <w:color w:val="000000"/>
        </w:rPr>
        <w:t>Definitive Agreement</w:t>
      </w:r>
      <w:r>
        <w:rPr>
          <w:color w:val="000000"/>
        </w:rPr>
        <w:t>” does not include an executed letter of intent or any other preliminary written agreement, nor does it include any written or verbal acceptance of any offer or bid on the part of either Party.</w:t>
      </w:r>
    </w:p>
    <w:p w14:paraId="00000020"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21"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Each Party is aware, and will advise its Representatives, that United States securities laws prohibit any person who has material non-public information concerning a publicly traded company or entity from purchasing or selling securities of such company or entity, or from communicating such information to any other person </w:t>
      </w:r>
      <w:proofErr w:type="gramStart"/>
      <w:r>
        <w:rPr>
          <w:color w:val="000000"/>
        </w:rPr>
        <w:t>under circumstances in which</w:t>
      </w:r>
      <w:proofErr w:type="gramEnd"/>
      <w:r>
        <w:rPr>
          <w:color w:val="000000"/>
        </w:rPr>
        <w:t xml:space="preserve"> it is reasonably foreseeable that such person is likely to purchase or sell such securities.</w:t>
      </w:r>
    </w:p>
    <w:p w14:paraId="00000022" w14:textId="77777777" w:rsidR="00DB6681" w:rsidRDefault="00DB6681">
      <w:pPr>
        <w:pBdr>
          <w:top w:val="nil"/>
          <w:left w:val="nil"/>
          <w:bottom w:val="nil"/>
          <w:right w:val="nil"/>
          <w:between w:val="nil"/>
        </w:pBdr>
        <w:ind w:left="720"/>
        <w:rPr>
          <w:color w:val="000000"/>
        </w:rPr>
      </w:pPr>
    </w:p>
    <w:p w14:paraId="00000023"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Each Party will be responsible for and will indemnify and hold harmless the other Party from any damage, loss, </w:t>
      </w:r>
      <w:proofErr w:type="gramStart"/>
      <w:r>
        <w:rPr>
          <w:color w:val="000000"/>
        </w:rPr>
        <w:t>cost</w:t>
      </w:r>
      <w:proofErr w:type="gramEnd"/>
      <w:r>
        <w:rPr>
          <w:color w:val="000000"/>
        </w:rPr>
        <w:t xml:space="preserve"> or liability (including but not limited to reasonable attorney’s fees and the costs of enforcing such obligations under this indemnity) arising out of or resulting from any breach by such Party or its Representatives of its obligations hereunder.  Each Party acknowledges that remedies at law may be inadequate to protect against breach of this Agreement and hereby in advance agrees, without prejudice to any rights to judicial relief it may otherwise have, to the granting of equitable relief, including injunction, in the other Party’s favor without proof of actual damages.  Each Party agrees not to seek and agrees to waive any requirement for the securing or posting </w:t>
      </w:r>
      <w:proofErr w:type="gramStart"/>
      <w:r>
        <w:rPr>
          <w:color w:val="000000"/>
        </w:rPr>
        <w:t>of,</w:t>
      </w:r>
      <w:proofErr w:type="gramEnd"/>
      <w:r>
        <w:rPr>
          <w:color w:val="000000"/>
        </w:rPr>
        <w:t xml:space="preserve"> a bond in connection with a Party seeking or obtaining such relief.</w:t>
      </w:r>
    </w:p>
    <w:p w14:paraId="00000024" w14:textId="77777777" w:rsidR="00DB6681" w:rsidRDefault="00DB6681">
      <w:pPr>
        <w:pBdr>
          <w:top w:val="nil"/>
          <w:left w:val="nil"/>
          <w:bottom w:val="nil"/>
          <w:right w:val="nil"/>
          <w:between w:val="nil"/>
        </w:pBdr>
        <w:ind w:left="720"/>
        <w:rPr>
          <w:color w:val="000000"/>
        </w:rPr>
      </w:pPr>
    </w:p>
    <w:p w14:paraId="00000025"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If any term or provision of this Agreement, or any application thereof to any circumstances, shall, to any extent and for any reason, be held to be invalid or unenforceable, the remainder of this Agreement, or the application of such term or provision to circumstances other than those to which it is held invalid or enforceable, shall not be affected thereby and shall be construed as if such invalid or unenforceable provision had never been contained herein and each term and provision of this Agreement shall be valid and enforceable to the fullest extent permitted by law.</w:t>
      </w:r>
    </w:p>
    <w:p w14:paraId="00000026" w14:textId="77777777" w:rsidR="00DB6681" w:rsidRDefault="00DB6681">
      <w:pPr>
        <w:pBdr>
          <w:top w:val="nil"/>
          <w:left w:val="nil"/>
          <w:bottom w:val="nil"/>
          <w:right w:val="nil"/>
          <w:between w:val="nil"/>
        </w:pBdr>
        <w:ind w:left="720"/>
        <w:rPr>
          <w:color w:val="000000"/>
        </w:rPr>
      </w:pPr>
    </w:p>
    <w:p w14:paraId="00000027"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 xml:space="preserve">This Agreement shall constitute the entire agreement between the Parties </w:t>
      </w:r>
      <w:proofErr w:type="gramStart"/>
      <w:r>
        <w:rPr>
          <w:color w:val="000000"/>
        </w:rPr>
        <w:t>with regard to</w:t>
      </w:r>
      <w:proofErr w:type="gramEnd"/>
      <w:r>
        <w:rPr>
          <w:color w:val="000000"/>
        </w:rPr>
        <w:t xml:space="preserve"> the subject matter hereof.  No modification, amendment or waiver shall be binding without the written consent of the Parties hereto.  This Agreement shall inure to the benefit of and be binding upon the Parties and their respective successors and assigns, </w:t>
      </w:r>
      <w:r>
        <w:rPr>
          <w:color w:val="000000"/>
          <w:u w:val="single"/>
        </w:rPr>
        <w:t>provided</w:t>
      </w:r>
      <w:r>
        <w:rPr>
          <w:color w:val="000000"/>
        </w:rPr>
        <w:t xml:space="preserve">, </w:t>
      </w:r>
      <w:r>
        <w:rPr>
          <w:color w:val="000000"/>
          <w:u w:val="single"/>
        </w:rPr>
        <w:t>however</w:t>
      </w:r>
      <w:r>
        <w:rPr>
          <w:color w:val="000000"/>
        </w:rPr>
        <w:t xml:space="preserve">, that neither this Agreement nor any of the rights, interests or obligations hereunder shall be assigned by either Party hereto without the prior written consent of the other Party, and no assignment of any right, interest or obligation shall release such assigning Party therefrom unless the other Party shall have consented to such release in writing specifically referring to the right, interest or obligation from which such assigning Party is to be released.  It is further understood and agreed that no failure or delay in exercising any right, power or privilege hereunder shall operate as a waiver thereof, nor shall any single or partial exercise thereof preclude any other or further exercise thereof or the exercise of any other right, </w:t>
      </w:r>
      <w:proofErr w:type="gramStart"/>
      <w:r>
        <w:rPr>
          <w:color w:val="000000"/>
        </w:rPr>
        <w:t>power</w:t>
      </w:r>
      <w:proofErr w:type="gramEnd"/>
      <w:r>
        <w:rPr>
          <w:color w:val="000000"/>
        </w:rPr>
        <w:t xml:space="preserve"> or privilege hereunder.</w:t>
      </w:r>
    </w:p>
    <w:p w14:paraId="00000028"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29"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lastRenderedPageBreak/>
        <w:t>This Agreement shall be governed by and construed in accordance with the laws of the State of Texas, without regard to the conflict of laws principles thereof.</w:t>
      </w:r>
    </w:p>
    <w:p w14:paraId="0000002A" w14:textId="77777777" w:rsidR="00DB6681" w:rsidRDefault="00DB6681">
      <w:pPr>
        <w:pBdr>
          <w:top w:val="nil"/>
          <w:left w:val="nil"/>
          <w:bottom w:val="nil"/>
          <w:right w:val="nil"/>
          <w:between w:val="nil"/>
        </w:pBdr>
        <w:ind w:left="720"/>
        <w:rPr>
          <w:color w:val="000000"/>
        </w:rPr>
      </w:pPr>
    </w:p>
    <w:p w14:paraId="0000002B"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Any person who at any time after the date hereof becomes a Representative or affiliate of either Party shall be deemed to be such Party’s Representative or affiliate, for the purposes of this Agreement, regardless of whether such person was such Representative on the date hereof.</w:t>
      </w:r>
    </w:p>
    <w:p w14:paraId="0000002C" w14:textId="77777777" w:rsidR="00DB6681" w:rsidRDefault="00DB6681">
      <w:pPr>
        <w:pBdr>
          <w:top w:val="nil"/>
          <w:left w:val="nil"/>
          <w:bottom w:val="nil"/>
          <w:right w:val="nil"/>
          <w:between w:val="nil"/>
        </w:pBdr>
        <w:ind w:left="720"/>
        <w:rPr>
          <w:color w:val="000000"/>
        </w:rPr>
      </w:pPr>
    </w:p>
    <w:p w14:paraId="0000002D"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All notices, requests and other communications to any Party hereunder shall be in writing (including email and facsimile or similar writing) and shall be given:</w:t>
      </w:r>
    </w:p>
    <w:p w14:paraId="0000002E" w14:textId="77777777" w:rsidR="00DB6681" w:rsidRDefault="00DB6681">
      <w:pPr>
        <w:pBdr>
          <w:top w:val="nil"/>
          <w:left w:val="nil"/>
          <w:bottom w:val="nil"/>
          <w:right w:val="nil"/>
          <w:between w:val="nil"/>
        </w:pBdr>
        <w:ind w:left="720"/>
        <w:rPr>
          <w:color w:val="000000"/>
        </w:rPr>
      </w:pPr>
    </w:p>
    <w:p w14:paraId="0000002F"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if to the Counterparty:</w:t>
      </w:r>
    </w:p>
    <w:p w14:paraId="00000030"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 xml:space="preserve">[        ] </w:t>
      </w:r>
    </w:p>
    <w:p w14:paraId="00000031"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Address</w:t>
      </w:r>
    </w:p>
    <w:p w14:paraId="00000032"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Attention:</w:t>
      </w:r>
    </w:p>
    <w:p w14:paraId="00000033"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Phone:</w:t>
      </w:r>
    </w:p>
    <w:p w14:paraId="00000034"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Email:</w:t>
      </w:r>
    </w:p>
    <w:p w14:paraId="00000035"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p>
    <w:p w14:paraId="00000036"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if to the Company:</w:t>
      </w:r>
    </w:p>
    <w:p w14:paraId="00000037"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Highfield Energy Inc</w:t>
      </w:r>
    </w:p>
    <w:p w14:paraId="00000038" w14:textId="139C1DC1"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19</w:t>
      </w:r>
      <w:r w:rsidR="00997AA2">
        <w:t>29</w:t>
      </w:r>
      <w:r>
        <w:t xml:space="preserve"> McKinney Ave, </w:t>
      </w:r>
      <w:r w:rsidR="00997AA2">
        <w:t>Floor 7</w:t>
      </w:r>
      <w:r>
        <w:t xml:space="preserve">, </w:t>
      </w:r>
    </w:p>
    <w:p w14:paraId="00000039"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Dallas, TX 75201</w:t>
      </w:r>
    </w:p>
    <w:p w14:paraId="0000003A"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Attention: Sean Crowley</w:t>
      </w:r>
    </w:p>
    <w:p w14:paraId="0000003B"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pPr>
      <w:r>
        <w:t>Phone: +1 469-516-4419</w:t>
      </w:r>
    </w:p>
    <w:p w14:paraId="0000003C" w14:textId="77777777" w:rsidR="00DB6681" w:rsidRDefault="00000000">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rPr>
          <w:color w:val="000000"/>
        </w:rPr>
      </w:pPr>
      <w:r>
        <w:rPr>
          <w:color w:val="000000"/>
        </w:rPr>
        <w:t xml:space="preserve">Email: </w:t>
      </w:r>
      <w:hyperlink r:id="rId8">
        <w:r>
          <w:rPr>
            <w:color w:val="0000FF"/>
            <w:u w:val="single"/>
          </w:rPr>
          <w:t>sean.crowley@highfieldenergy.com</w:t>
        </w:r>
      </w:hyperlink>
    </w:p>
    <w:p w14:paraId="0000003D"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rPr>
          <w:color w:val="000000"/>
        </w:rPr>
      </w:pPr>
    </w:p>
    <w:p w14:paraId="0000003E" w14:textId="77777777" w:rsidR="00DB6681" w:rsidRDefault="00000000">
      <w:pPr>
        <w:widowControl/>
        <w:numPr>
          <w:ilvl w:val="1"/>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to such other address or facsimile number as a Party may hereafter specify by like notice to the other Party.  Each such notice, request or other communication shall be effective (</w:t>
      </w:r>
      <w:proofErr w:type="spellStart"/>
      <w:r>
        <w:rPr>
          <w:color w:val="000000"/>
        </w:rPr>
        <w:t>i</w:t>
      </w:r>
      <w:proofErr w:type="spellEnd"/>
      <w:r>
        <w:rPr>
          <w:color w:val="000000"/>
        </w:rPr>
        <w:t>) if given by facsimile, when such facsimile is transmitted to the facsimile number specified herein and the appropriate confirmation is provided, (ii) if given by United States mail, three days after such notice is deposited in the mail in a postage pre-paid envelope or (iii) if given by any other means, when delivered at the address specified herein.</w:t>
      </w:r>
    </w:p>
    <w:p w14:paraId="0000003F"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0"/>
        <w:jc w:val="both"/>
        <w:rPr>
          <w:color w:val="000000"/>
        </w:rPr>
      </w:pPr>
    </w:p>
    <w:p w14:paraId="00000040" w14:textId="77777777" w:rsidR="00DB6681" w:rsidRDefault="00000000">
      <w:pPr>
        <w:widowControl/>
        <w:numPr>
          <w:ilvl w:val="0"/>
          <w:numId w:val="1"/>
        </w:numPr>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rPr>
          <w:color w:val="000000"/>
        </w:rPr>
      </w:pPr>
      <w:r>
        <w:rPr>
          <w:color w:val="000000"/>
        </w:rPr>
        <w:t>This Agreement shall terminate on the earlier of (a) a Party’s written notice of termination to the other Party or (b) two (2) years after the last disclosure hereunder.  The obligations hereunder shall survive termination of this Agreement for a period of three (</w:t>
      </w:r>
      <w:r>
        <w:t>3</w:t>
      </w:r>
      <w:r>
        <w:rPr>
          <w:color w:val="000000"/>
        </w:rPr>
        <w:t>) years.</w:t>
      </w:r>
    </w:p>
    <w:p w14:paraId="00000041" w14:textId="77777777" w:rsidR="00DB6681" w:rsidRDefault="00DB6681">
      <w:pPr>
        <w:widowControl/>
        <w:pBdr>
          <w:top w:val="nil"/>
          <w:left w:val="nil"/>
          <w:bottom w:val="nil"/>
          <w:right w:val="nil"/>
          <w:between w:val="nil"/>
        </w:pBd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jc w:val="both"/>
        <w:rPr>
          <w:color w:val="000000"/>
        </w:rPr>
      </w:pPr>
    </w:p>
    <w:p w14:paraId="00000042"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43"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pPr>
    </w:p>
    <w:p w14:paraId="00000044"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pPr>
    </w:p>
    <w:p w14:paraId="00000045"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pPr>
    </w:p>
    <w:p w14:paraId="00000046" w14:textId="77777777" w:rsidR="00DB6681" w:rsidRDefault="00000000">
      <w:pPr>
        <w:widowControl/>
      </w:pPr>
      <w:r>
        <w:br w:type="page"/>
      </w:r>
    </w:p>
    <w:p w14:paraId="00000047" w14:textId="77777777" w:rsidR="00DB6681" w:rsidRDefault="00000000">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jc w:val="both"/>
      </w:pPr>
      <w:r>
        <w:lastRenderedPageBreak/>
        <w:t>IN WITNESS WHEREOF, the Parties have caused this Agreement to be executed as of the date and year first above written.</w:t>
      </w:r>
    </w:p>
    <w:p w14:paraId="00000048"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p w14:paraId="00000049" w14:textId="77777777" w:rsidR="00DB6681" w:rsidRDefault="00DB6681">
      <w:pPr>
        <w:widowControl/>
        <w:pBdr>
          <w:top w:val="nil"/>
          <w:left w:val="nil"/>
          <w:bottom w:val="nil"/>
          <w:right w:val="nil"/>
          <w:between w:val="nil"/>
        </w:pBdr>
        <w:spacing w:after="240"/>
        <w:jc w:val="both"/>
        <w:rPr>
          <w:b/>
          <w:color w:val="000000"/>
        </w:rPr>
      </w:pPr>
    </w:p>
    <w:p w14:paraId="0000004A" w14:textId="77777777" w:rsidR="00DB6681" w:rsidRDefault="00000000">
      <w:pPr>
        <w:widowControl/>
        <w:pBdr>
          <w:top w:val="nil"/>
          <w:left w:val="nil"/>
          <w:bottom w:val="nil"/>
          <w:right w:val="nil"/>
          <w:between w:val="nil"/>
        </w:pBdr>
        <w:spacing w:after="240"/>
        <w:ind w:left="4320"/>
        <w:jc w:val="both"/>
        <w:rPr>
          <w:b/>
          <w:color w:val="000000"/>
        </w:rPr>
      </w:pPr>
      <w:r>
        <w:rPr>
          <w:b/>
          <w:color w:val="000000"/>
        </w:rPr>
        <w:t xml:space="preserve">HIGHFIELD ENERGY INC, </w:t>
      </w:r>
    </w:p>
    <w:p w14:paraId="0000004B" w14:textId="77777777" w:rsidR="00DB6681" w:rsidRDefault="00000000">
      <w:pPr>
        <w:widowControl/>
        <w:pBdr>
          <w:top w:val="nil"/>
          <w:left w:val="nil"/>
          <w:bottom w:val="nil"/>
          <w:right w:val="nil"/>
          <w:between w:val="nil"/>
        </w:pBdr>
        <w:spacing w:after="240"/>
        <w:ind w:left="4320"/>
        <w:rPr>
          <w:color w:val="000000"/>
        </w:rPr>
      </w:pPr>
      <w:r>
        <w:rPr>
          <w:color w:val="000000"/>
        </w:rPr>
        <w:t>By:</w:t>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br/>
      </w:r>
      <w:r>
        <w:rPr>
          <w:color w:val="000000"/>
        </w:rPr>
        <w:t>Name: Sean Crowley</w:t>
      </w:r>
      <w:r>
        <w:rPr>
          <w:color w:val="000000"/>
        </w:rPr>
        <w:br/>
        <w:t>Title:   Development Manager</w:t>
      </w:r>
    </w:p>
    <w:p w14:paraId="0000004C" w14:textId="77777777" w:rsidR="00DB6681" w:rsidRDefault="00000000">
      <w:pPr>
        <w:widowControl/>
        <w:pBdr>
          <w:top w:val="nil"/>
          <w:left w:val="nil"/>
          <w:bottom w:val="nil"/>
          <w:right w:val="nil"/>
          <w:between w:val="nil"/>
        </w:pBdr>
        <w:spacing w:after="240"/>
        <w:ind w:left="4320"/>
        <w:rPr>
          <w:color w:val="000000"/>
        </w:rPr>
      </w:pPr>
      <w:r>
        <w:rPr>
          <w:color w:val="000000"/>
        </w:rPr>
        <w:t xml:space="preserve">                                                         </w:t>
      </w:r>
    </w:p>
    <w:p w14:paraId="0000004D" w14:textId="77777777" w:rsidR="00DB6681" w:rsidRDefault="00000000">
      <w:pPr>
        <w:widowControl/>
        <w:pBdr>
          <w:top w:val="nil"/>
          <w:left w:val="nil"/>
          <w:bottom w:val="nil"/>
          <w:right w:val="nil"/>
          <w:between w:val="nil"/>
        </w:pBdr>
        <w:spacing w:after="240"/>
        <w:ind w:left="4320"/>
        <w:jc w:val="both"/>
        <w:rPr>
          <w:b/>
          <w:color w:val="000000"/>
        </w:rPr>
      </w:pPr>
      <w:r>
        <w:rPr>
          <w:b/>
          <w:color w:val="000000"/>
        </w:rPr>
        <w:t xml:space="preserve">[                       ] </w:t>
      </w:r>
    </w:p>
    <w:p w14:paraId="0000004E" w14:textId="77777777" w:rsidR="00DB6681" w:rsidRDefault="00000000">
      <w:pPr>
        <w:widowControl/>
        <w:pBdr>
          <w:top w:val="nil"/>
          <w:left w:val="nil"/>
          <w:bottom w:val="nil"/>
          <w:right w:val="nil"/>
          <w:between w:val="nil"/>
        </w:pBdr>
        <w:spacing w:after="240"/>
        <w:ind w:left="4320"/>
        <w:rPr>
          <w:color w:val="000000"/>
        </w:rPr>
      </w:pPr>
      <w:proofErr w:type="spellStart"/>
      <w:proofErr w:type="gramStart"/>
      <w:r>
        <w:rPr>
          <w:color w:val="000000"/>
        </w:rPr>
        <w:t>By:_</w:t>
      </w:r>
      <w:proofErr w:type="gramEnd"/>
      <w:r>
        <w:rPr>
          <w:color w:val="000000"/>
        </w:rPr>
        <w:t>______________________________________Name</w:t>
      </w:r>
      <w:proofErr w:type="spellEnd"/>
      <w:r>
        <w:rPr>
          <w:color w:val="000000"/>
        </w:rPr>
        <w:t>:  __________________                                   Title:    __________________</w:t>
      </w:r>
    </w:p>
    <w:p w14:paraId="0000004F" w14:textId="77777777" w:rsidR="00DB6681" w:rsidRDefault="00DB6681">
      <w:pPr>
        <w:widowControl/>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p>
    <w:sectPr w:rsidR="00DB6681">
      <w:footerReference w:type="default" r:id="rId9"/>
      <w:pgSz w:w="12240" w:h="15840"/>
      <w:pgMar w:top="1440" w:right="1440" w:bottom="1440" w:left="1440" w:header="720" w:footer="144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71DC83" w14:textId="77777777" w:rsidR="0040771D" w:rsidRDefault="0040771D">
      <w:r>
        <w:separator/>
      </w:r>
    </w:p>
  </w:endnote>
  <w:endnote w:type="continuationSeparator" w:id="0">
    <w:p w14:paraId="60E6E52D" w14:textId="77777777" w:rsidR="0040771D" w:rsidRDefault="004077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050" w14:textId="77777777" w:rsidR="00DB6681" w:rsidRDefault="00DB6681">
    <w:pPr>
      <w:pBdr>
        <w:top w:val="nil"/>
        <w:left w:val="nil"/>
        <w:bottom w:val="nil"/>
        <w:right w:val="nil"/>
        <w:between w:val="nil"/>
      </w:pBdr>
      <w:tabs>
        <w:tab w:val="center" w:pos="4320"/>
        <w:tab w:val="right" w:pos="8640"/>
      </w:tabs>
      <w:jc w:val="center"/>
      <w:rPr>
        <w:color w:val="000000"/>
      </w:rPr>
    </w:pPr>
  </w:p>
  <w:p w14:paraId="00000051" w14:textId="77777777" w:rsidR="00DB6681" w:rsidRDefault="00DB6681">
    <w:pPr>
      <w:pBdr>
        <w:top w:val="nil"/>
        <w:left w:val="nil"/>
        <w:bottom w:val="nil"/>
        <w:right w:val="nil"/>
        <w:between w:val="nil"/>
      </w:pBdr>
      <w:tabs>
        <w:tab w:val="center" w:pos="4320"/>
        <w:tab w:val="right" w:pos="8640"/>
      </w:tabs>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F995D4" w14:textId="77777777" w:rsidR="0040771D" w:rsidRDefault="0040771D">
      <w:r>
        <w:separator/>
      </w:r>
    </w:p>
  </w:footnote>
  <w:footnote w:type="continuationSeparator" w:id="0">
    <w:p w14:paraId="78E0F4D4" w14:textId="77777777" w:rsidR="0040771D" w:rsidRDefault="004077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7E1103"/>
    <w:multiLevelType w:val="multilevel"/>
    <w:tmpl w:val="A0566C90"/>
    <w:lvl w:ilvl="0">
      <w:start w:val="1"/>
      <w:numFmt w:val="decimal"/>
      <w:pStyle w:val="PHAgree1L1"/>
      <w:lvlText w:val="%1."/>
      <w:lvlJc w:val="left"/>
      <w:pPr>
        <w:ind w:left="720" w:hanging="360"/>
      </w:pPr>
    </w:lvl>
    <w:lvl w:ilvl="1">
      <w:start w:val="1"/>
      <w:numFmt w:val="lowerLetter"/>
      <w:pStyle w:val="PHAgree1L2"/>
      <w:lvlText w:val="%2."/>
      <w:lvlJc w:val="left"/>
      <w:pPr>
        <w:ind w:left="1440" w:hanging="360"/>
      </w:pPr>
    </w:lvl>
    <w:lvl w:ilvl="2">
      <w:start w:val="1"/>
      <w:numFmt w:val="lowerRoman"/>
      <w:pStyle w:val="PHAgree1L3"/>
      <w:lvlText w:val="%3."/>
      <w:lvlJc w:val="right"/>
      <w:pPr>
        <w:ind w:left="2160" w:hanging="180"/>
      </w:pPr>
    </w:lvl>
    <w:lvl w:ilvl="3">
      <w:start w:val="1"/>
      <w:numFmt w:val="decimal"/>
      <w:pStyle w:val="PHAgree1L4"/>
      <w:lvlText w:val="%4."/>
      <w:lvlJc w:val="left"/>
      <w:pPr>
        <w:ind w:left="2880" w:hanging="360"/>
      </w:pPr>
    </w:lvl>
    <w:lvl w:ilvl="4">
      <w:start w:val="1"/>
      <w:numFmt w:val="lowerLetter"/>
      <w:pStyle w:val="PHAgree1L5"/>
      <w:lvlText w:val="%5."/>
      <w:lvlJc w:val="left"/>
      <w:pPr>
        <w:ind w:left="3600" w:hanging="360"/>
      </w:pPr>
    </w:lvl>
    <w:lvl w:ilvl="5">
      <w:start w:val="1"/>
      <w:numFmt w:val="lowerRoman"/>
      <w:pStyle w:val="PHAgree1L6"/>
      <w:lvlText w:val="%6."/>
      <w:lvlJc w:val="right"/>
      <w:pPr>
        <w:ind w:left="4320" w:hanging="180"/>
      </w:pPr>
    </w:lvl>
    <w:lvl w:ilvl="6">
      <w:start w:val="1"/>
      <w:numFmt w:val="decimal"/>
      <w:pStyle w:val="PHAgree1L7"/>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31553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681"/>
    <w:rsid w:val="003B49BB"/>
    <w:rsid w:val="0040771D"/>
    <w:rsid w:val="00997AA2"/>
    <w:rsid w:val="00B47D3B"/>
    <w:rsid w:val="00DB6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D04C4"/>
  <w15:docId w15:val="{9D02E437-4870-44DD-9A9C-FDC474282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4A13"/>
    <w:rPr>
      <w:snapToGrid w:val="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FootnoteReference">
    <w:name w:val="footnote reference"/>
    <w:semiHidden/>
  </w:style>
  <w:style w:type="paragraph" w:styleId="Header">
    <w:name w:val="header"/>
    <w:basedOn w:val="Normal"/>
    <w:rsid w:val="00074B74"/>
    <w:pPr>
      <w:tabs>
        <w:tab w:val="center" w:pos="4320"/>
        <w:tab w:val="right" w:pos="8640"/>
      </w:tabs>
    </w:pPr>
  </w:style>
  <w:style w:type="paragraph" w:styleId="Footer">
    <w:name w:val="footer"/>
    <w:basedOn w:val="Normal"/>
    <w:rsid w:val="00074B74"/>
    <w:pPr>
      <w:tabs>
        <w:tab w:val="center" w:pos="4320"/>
        <w:tab w:val="right" w:pos="8640"/>
      </w:tabs>
    </w:pPr>
  </w:style>
  <w:style w:type="character" w:styleId="PageNumber">
    <w:name w:val="page number"/>
    <w:basedOn w:val="DefaultParagraphFont"/>
    <w:rsid w:val="00D07EB1"/>
  </w:style>
  <w:style w:type="paragraph" w:styleId="BodyText">
    <w:name w:val="Body Text"/>
    <w:basedOn w:val="Normal"/>
    <w:rsid w:val="00396C60"/>
    <w:pPr>
      <w:widowControl/>
      <w:spacing w:after="240"/>
      <w:ind w:firstLine="1440"/>
    </w:pPr>
  </w:style>
  <w:style w:type="paragraph" w:customStyle="1" w:styleId="PHAgree1L1">
    <w:name w:val="PHAgree1_L1"/>
    <w:basedOn w:val="Normal"/>
    <w:next w:val="BodyText"/>
    <w:rsid w:val="00396C60"/>
    <w:pPr>
      <w:keepNext/>
      <w:widowControl/>
      <w:numPr>
        <w:numId w:val="1"/>
      </w:numPr>
      <w:spacing w:after="240"/>
      <w:jc w:val="center"/>
      <w:outlineLvl w:val="0"/>
    </w:pPr>
    <w:rPr>
      <w:b/>
      <w:caps/>
      <w:snapToGrid/>
    </w:rPr>
  </w:style>
  <w:style w:type="paragraph" w:customStyle="1" w:styleId="PHAgree1L2">
    <w:name w:val="PHAgree1_L2"/>
    <w:basedOn w:val="PHAgree1L1"/>
    <w:next w:val="BodyText"/>
    <w:rsid w:val="00396C60"/>
    <w:pPr>
      <w:keepNext w:val="0"/>
      <w:numPr>
        <w:ilvl w:val="1"/>
      </w:numPr>
      <w:jc w:val="left"/>
      <w:outlineLvl w:val="1"/>
    </w:pPr>
    <w:rPr>
      <w:b w:val="0"/>
      <w:caps w:val="0"/>
    </w:rPr>
  </w:style>
  <w:style w:type="paragraph" w:customStyle="1" w:styleId="PHAgree1L3">
    <w:name w:val="PHAgree1_L3"/>
    <w:basedOn w:val="PHAgree1L2"/>
    <w:next w:val="BodyText"/>
    <w:rsid w:val="00396C60"/>
    <w:pPr>
      <w:numPr>
        <w:ilvl w:val="2"/>
      </w:numPr>
      <w:outlineLvl w:val="2"/>
    </w:pPr>
  </w:style>
  <w:style w:type="paragraph" w:customStyle="1" w:styleId="PHAgree1L4">
    <w:name w:val="PHAgree1_L4"/>
    <w:basedOn w:val="PHAgree1L3"/>
    <w:next w:val="BodyText"/>
    <w:rsid w:val="00396C60"/>
    <w:pPr>
      <w:numPr>
        <w:ilvl w:val="3"/>
      </w:numPr>
      <w:outlineLvl w:val="3"/>
    </w:pPr>
  </w:style>
  <w:style w:type="paragraph" w:customStyle="1" w:styleId="PHAgree1L5">
    <w:name w:val="PHAgree1_L5"/>
    <w:basedOn w:val="PHAgree1L4"/>
    <w:next w:val="BodyText"/>
    <w:rsid w:val="00396C60"/>
    <w:pPr>
      <w:numPr>
        <w:ilvl w:val="4"/>
      </w:numPr>
      <w:outlineLvl w:val="4"/>
    </w:pPr>
  </w:style>
  <w:style w:type="paragraph" w:customStyle="1" w:styleId="PHAgree1L6">
    <w:name w:val="PHAgree1_L6"/>
    <w:basedOn w:val="PHAgree1L5"/>
    <w:next w:val="BodyText"/>
    <w:rsid w:val="00396C60"/>
    <w:pPr>
      <w:numPr>
        <w:ilvl w:val="5"/>
      </w:numPr>
      <w:outlineLvl w:val="5"/>
    </w:pPr>
  </w:style>
  <w:style w:type="paragraph" w:customStyle="1" w:styleId="PHAgree1L7">
    <w:name w:val="PHAgree1_L7"/>
    <w:basedOn w:val="PHAgree1L6"/>
    <w:next w:val="BodyText"/>
    <w:rsid w:val="00396C60"/>
    <w:pPr>
      <w:numPr>
        <w:ilvl w:val="6"/>
      </w:numPr>
      <w:outlineLvl w:val="6"/>
    </w:pPr>
  </w:style>
  <w:style w:type="paragraph" w:customStyle="1" w:styleId="VEBodyTextFLI">
    <w:name w:val="VE Body Text FLI"/>
    <w:aliases w:val="BTFL"/>
    <w:basedOn w:val="Normal"/>
    <w:rsid w:val="009C7195"/>
    <w:pPr>
      <w:widowControl/>
      <w:spacing w:after="240"/>
      <w:ind w:firstLine="720"/>
      <w:jc w:val="both"/>
    </w:pPr>
    <w:rPr>
      <w:rFonts w:cs="Arial"/>
      <w:snapToGrid/>
    </w:rPr>
  </w:style>
  <w:style w:type="paragraph" w:styleId="BalloonText">
    <w:name w:val="Balloon Text"/>
    <w:basedOn w:val="Normal"/>
    <w:semiHidden/>
    <w:rsid w:val="000349A6"/>
    <w:rPr>
      <w:rFonts w:ascii="Tahoma" w:hAnsi="Tahoma" w:cs="Tahoma"/>
      <w:sz w:val="16"/>
      <w:szCs w:val="16"/>
    </w:rPr>
  </w:style>
  <w:style w:type="character" w:styleId="CommentReference">
    <w:name w:val="annotation reference"/>
    <w:semiHidden/>
    <w:rsid w:val="00C4289F"/>
    <w:rPr>
      <w:sz w:val="16"/>
      <w:szCs w:val="16"/>
    </w:rPr>
  </w:style>
  <w:style w:type="paragraph" w:styleId="CommentText">
    <w:name w:val="annotation text"/>
    <w:basedOn w:val="Normal"/>
    <w:semiHidden/>
    <w:rsid w:val="00C4289F"/>
    <w:rPr>
      <w:sz w:val="20"/>
    </w:rPr>
  </w:style>
  <w:style w:type="paragraph" w:styleId="CommentSubject">
    <w:name w:val="annotation subject"/>
    <w:basedOn w:val="CommentText"/>
    <w:next w:val="CommentText"/>
    <w:semiHidden/>
    <w:rsid w:val="00C4289F"/>
    <w:rPr>
      <w:b/>
      <w:bCs/>
    </w:rPr>
  </w:style>
  <w:style w:type="character" w:styleId="Hyperlink">
    <w:name w:val="Hyperlink"/>
    <w:rsid w:val="00A90341"/>
    <w:rPr>
      <w:color w:val="0000FF"/>
      <w:u w:val="single"/>
    </w:rPr>
  </w:style>
  <w:style w:type="paragraph" w:styleId="ListParagraph">
    <w:name w:val="List Paragraph"/>
    <w:basedOn w:val="Normal"/>
    <w:uiPriority w:val="34"/>
    <w:qFormat/>
    <w:rsid w:val="005B0037"/>
    <w:pPr>
      <w:ind w:left="720"/>
      <w:contextualSpacing/>
    </w:pPr>
  </w:style>
  <w:style w:type="character" w:styleId="UnresolvedMention">
    <w:name w:val="Unresolved Mention"/>
    <w:basedOn w:val="DefaultParagraphFont"/>
    <w:uiPriority w:val="99"/>
    <w:semiHidden/>
    <w:unhideWhenUsed/>
    <w:rsid w:val="009A04B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mailto:sean.crowley@highfieldener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z/UMcSZpeAcbAJusS69D+n8k+g==">AMUW2mU5uD19ZjP4066fAudoxS4ChUYjpCF5p+IK1SMGbNqrHsnY7A9ZsQWGfCBuLqVo4UIAg5McNj1swKpd8GVyhC6B0IbY5bW+s04rUGbmOinX9v77KaPiaiTNkRCC8S14pKGX2jtT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2317</Words>
  <Characters>13211</Characters>
  <Application>Microsoft Office Word</Application>
  <DocSecurity>0</DocSecurity>
  <Lines>110</Lines>
  <Paragraphs>30</Paragraphs>
  <ScaleCrop>false</ScaleCrop>
  <Company/>
  <LinksUpToDate>false</LinksUpToDate>
  <CharactersWithSpaces>15498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Sean Crowley</cp:lastModifiedBy>
  <cp:revision>4</cp:revision>
  <dcterms:created xsi:type="dcterms:W3CDTF">2019-04-15T17:07:00Z</dcterms:created>
  <dcterms:modified xsi:type="dcterms:W3CDTF">2026-01-09T16:51:00Z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oFAAc7krgLHoShW9NkOmR8z5XPk2ssuAHX46XB3NzpIPwHC2YugrPwlDFRbwy/hvnty9gw2guwGCX/9K_x000d_
Yz2qOr7b4HZo2ItJoG0cpkP6YQ3pTpB7B9dLmeiz5TrsZTKnrzObZF6n+E4LTWKUlD+5l9jXLuGx_x000d_
mOD0mkmV1PU/vd1CK8070AuT10o1aOikFBV8z+/jQggl8FpyUt8+DKjJa083au/CIq85iSn1q9hC_x000d_
gR5FCD7DCNY0+/exR</vt:lpwstr>
  </property>
  <property fmtid="{D5CDD505-2E9C-101B-9397-08002B2CF9AE}" pid="3" name="MAIL_MSG_ID2">
    <vt:lpwstr>XfZJVQ8e9+8RIMO+nT5c9JCA+4RyrVxEWiB5/s/XIyPwFyZZsRSEo8Zs9WP_x000d_
IsODEg8Igi8UZVyCteWXzHhiPD5mFWUcRExhit2dbZnvK8s3</vt:lpwstr>
  </property>
  <property fmtid="{D5CDD505-2E9C-101B-9397-08002B2CF9AE}" pid="4" name="RESPONSE_SENDER_NAME">
    <vt:lpwstr>sAAAXRTqSjcrLAqsl9o/2d0Ewmie5dlarYb7EJaqhNFzN9A=</vt:lpwstr>
  </property>
  <property fmtid="{D5CDD505-2E9C-101B-9397-08002B2CF9AE}" pid="5" name="EMAIL_OWNER_ADDRESS">
    <vt:lpwstr>4AAAMz5NUQ6P8J87A2m3GuAUB6hyHEz63FHbiwXEDN7iD6nYB/HoHF0y1Q==</vt:lpwstr>
  </property>
</Properties>
</file>