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psmdcp" ContentType="application/vnd.openxmlformats-package.core-properties+xml"/>
  <Default Extension="rels" ContentType="application/vnd.openxmlformats-package.relationships+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a3531df4fcfd4446" /><Relationship Type="http://schemas.openxmlformats.org/package/2006/relationships/metadata/core-properties" Target="/package/services/metadata/core-properties/1c136bdd5c2c4214ab807565805ad830.psmdcp" Id="R5f6fdea4a7834599" /></Relationships>
</file>

<file path=word/document.xml><?xml version="1.0" encoding="utf-8"?>
<w:document xmlns:w="http://schemas.openxmlformats.org/wordprocessingml/2006/main">
  <w:body>
    <w:p>
      <w:pPr>
        <w:pStyle w:val="Title"/>
      </w:pPr>
      <w:r>
        <w:t>Bravemist Holdings LLC NDA – Updated with Email and Signatures</w:t>
      </w:r>
    </w:p>
    <w:p>
      <w:r>
        <w:t>CONFIDENTIALITY AND NON-DISCLOSURE AGREEMENT</w:t>
      </w:r>
    </w:p>
    <w:p>
      <w:r>
        <w:t>THIS CONFIDENTIALITY AND NON-DISCLOSURE AGREEMENT (this “Agreement”) is entered into this 24th day of October, 2025, by and between EIA Properties Ltd, by EIA Management LLC its General Partner (“EIA”), and Bravemist Holdings LLC, a Texas limited liability company and its affiliates (“Company”). Bravemist Holdings LLC and EIA may be referred to herein individually as a “Party” and collectively as the “Parties”.</w:t>
      </w:r>
    </w:p>
    <w:p>
      <w:r>
        <w:t>WHEREAS, the Parties contemplate entering into discussions to explore a potential business relationship involving Company and/or certain of its subsidiaries and EIA and/or certain of its subsidiaries with respect to the Anawa La Solar and Anawa La BESS projects (“Projects”) (each a “Business Relationship”); and</w:t>
      </w:r>
    </w:p>
    <w:p>
      <w:r>
        <w:t>WHEREAS, each Party (“Disclosing Party”) is willing to provide confidential and proprietary information to the other Party (“Recipient”) to assist Recipient in its consideration and evaluation of, and potentially entering into, a Business Relationship;</w:t>
      </w:r>
    </w:p>
    <w:p>
      <w:r>
        <w:t>NOW, THEREFORE, in consideration of the premises hereof and the promises set forth below, the Parties agree as follows:</w:t>
      </w:r>
    </w:p>
    <w:p>
      <w:r>
        <w:pict>
          <v:rect xmlns:o="urn:schemas-microsoft-com:office:office" xmlns:v="urn:schemas-microsoft-com:vml" style="height:.05pt;mso-width-percent:1000" o:hr="true" o:hrstd="true" o:hralign="center" fillcolor="A0A0A0" stroked="false"/>
        </w:pict>
      </w:r>
    </w:p>
    <w:p>
      <w:pPr>
        <w:pStyle w:val="heading3"/>
      </w:pPr>
      <w:bookmarkStart w:name="confidential_information" w:id="1"/>
      <w:r>
        <w:t>Confidential Information</w:t>
      </w:r>
      <w:bookmarkEnd w:id="1"/>
    </w:p>
    <w:p>
      <w:r>
        <w:t>For the purposes of this Agreement, the term “Confidential Information” means and includes information, including that related to the Projects, provided by Disclosing Party or its Representatives to Recipient or its Representatives in connection with a Business Relationship, including, without limitation, any business, commercial, technical, marketing, pricing, financial or other information, whether in electronic, oral or written form.</w:t>
      </w:r>
    </w:p>
    <w:p>
      <w:r>
        <w:t>Confidential Information shall not include information that:</w:t>
      </w:r>
    </w:p>
    <w:p>
      <w:pPr>
        <w:pStyle w:val="ListParagraph"/>
        <w:numPr>
          <w:ilvl w:val="0"/>
          <w:numId w:val="1"/>
        </w:numPr>
      </w:pPr>
      <w:r>
        <w:t>(a) is or becomes public other than through a breach of this Agreement;</w:t>
      </w:r>
    </w:p>
    <w:p>
      <w:pPr>
        <w:pStyle w:val="ListParagraph"/>
        <w:numPr>
          <w:ilvl w:val="0"/>
          <w:numId w:val="1"/>
        </w:numPr>
      </w:pPr>
      <w:r>
        <w:t>(b) becomes available to Recipient from a source not known to be bound by confidentiality;</w:t>
      </w:r>
    </w:p>
    <w:p>
      <w:pPr>
        <w:pStyle w:val="ListParagraph"/>
        <w:numPr>
          <w:ilvl w:val="0"/>
          <w:numId w:val="1"/>
        </w:numPr>
      </w:pPr>
      <w:r>
        <w:t>(c) was in Recipient’s possession on a non-confidential basis prior to disclosure;</w:t>
      </w:r>
    </w:p>
    <w:p>
      <w:pPr>
        <w:pStyle w:val="ListParagraph"/>
        <w:numPr>
          <w:ilvl w:val="0"/>
          <w:numId w:val="1"/>
        </w:numPr>
      </w:pPr>
      <w:r>
        <w:t>(d) is independently developed without use of Confidential Information;</w:t>
      </w:r>
    </w:p>
    <w:p>
      <w:pPr>
        <w:pStyle w:val="ListParagraph"/>
        <w:numPr>
          <w:ilvl w:val="0"/>
          <w:numId w:val="1"/>
        </w:numPr>
      </w:pPr>
      <w:r>
        <w:t>(e) is approved for release in writing by Disclosing Party.</w:t>
      </w:r>
    </w:p>
    <w:p>
      <w:r>
        <w:t>“Representatives” includes affiliates, directors, officers, members, managers, employees, advisors, counsel, consultants, accountants, and agents.</w:t>
      </w:r>
    </w:p>
    <w:p>
      <w:r>
        <w:pict>
          <v:rect xmlns:o="urn:schemas-microsoft-com:office:office" xmlns:v="urn:schemas-microsoft-com:vml" style="height:.05pt;mso-width-percent:1000" o:hr="true" o:hrstd="true" o:hralign="center" fillcolor="A0A0A0" stroked="false"/>
        </w:pict>
      </w:r>
    </w:p>
    <w:p>
      <w:pPr>
        <w:pStyle w:val="heading3"/>
      </w:pPr>
      <w:bookmarkStart w:name="non_use_protection_and_dissemination_of_confidential_information" w:id="2"/>
      <w:r>
        <w:t>Non-Use; Protection and Dissemination of Confidential Information</w:t>
      </w:r>
      <w:bookmarkEnd w:id="2"/>
    </w:p>
    <w:p>
      <w:r>
        <w:t>Recipient agrees not to use Confidential Information except for evaluating and potentially entering into a Business Relationship. Recipient shall not disclose Confidential Information without prior written consent, except to Representatives who need access for evaluation purposes. Recipient is responsible for any breach by its Representatives.</w:t>
      </w:r>
    </w:p>
    <w:p>
      <w:r>
        <w:pict>
          <v:rect xmlns:o="urn:schemas-microsoft-com:office:office" xmlns:v="urn:schemas-microsoft-com:vml" style="height:.05pt;mso-width-percent:1000" o:hr="true" o:hrstd="true" o:hralign="center" fillcolor="A0A0A0" stroked="false"/>
        </w:pict>
      </w:r>
    </w:p>
    <w:p>
      <w:pPr>
        <w:pStyle w:val="heading3"/>
      </w:pPr>
      <w:bookmarkStart w:name="non_disclosure_of_business_relationship" w:id="3"/>
      <w:r>
        <w:t>Non-Disclosure of Business Relationship</w:t>
      </w:r>
      <w:bookmarkEnd w:id="3"/>
    </w:p>
    <w:p>
      <w:r>
        <w:t>Each Party agrees to keep confidential the existence, substance, and status of any discussions or negotiations related to a Business Relationship, including the existence of this Agreement.</w:t>
      </w:r>
    </w:p>
    <w:p>
      <w:r>
        <w:pict>
          <v:rect xmlns:o="urn:schemas-microsoft-com:office:office" xmlns:v="urn:schemas-microsoft-com:vml" style="height:.05pt;mso-width-percent:1000" o:hr="true" o:hrstd="true" o:hralign="center" fillcolor="A0A0A0" stroked="false"/>
        </w:pict>
      </w:r>
    </w:p>
    <w:p>
      <w:pPr>
        <w:pStyle w:val="heading3"/>
      </w:pPr>
      <w:bookmarkStart w:name="compelled_disclosure" w:id="4"/>
      <w:r>
        <w:t>Compelled Disclosure</w:t>
      </w:r>
      <w:bookmarkEnd w:id="4"/>
    </w:p>
    <w:p>
      <w:r>
        <w:t>If Recipient is required by legal process to disclose Confidential Information, Recipient shall promptly notify Disclosing Party (unless prohibited by law), cooperate in seeking protective orders, and disclose only the required portion.</w:t>
      </w:r>
    </w:p>
    <w:p>
      <w:r>
        <w:pict>
          <v:rect xmlns:o="urn:schemas-microsoft-com:office:office" xmlns:v="urn:schemas-microsoft-com:vml" style="height:.05pt;mso-width-percent:1000" o:hr="true" o:hrstd="true" o:hralign="center" fillcolor="A0A0A0" stroked="false"/>
        </w:pict>
      </w:r>
    </w:p>
    <w:p>
      <w:pPr>
        <w:pStyle w:val="heading3"/>
      </w:pPr>
      <w:bookmarkStart w:name="ownership_and_nature_of_confidential_information" w:id="5"/>
      <w:r>
        <w:t>Ownership and Nature of Confidential Information</w:t>
      </w:r>
      <w:bookmarkEnd w:id="5"/>
    </w:p>
    <w:p>
      <w:r>
        <w:t>All Confidential Information remains the property of Disclosing Party. No rights or licenses are granted except the right to evaluate the information. No representation or warranty is made regarding accuracy or completeness.</w:t>
      </w:r>
    </w:p>
    <w:p>
      <w:r>
        <w:pict>
          <v:rect xmlns:o="urn:schemas-microsoft-com:office:office" xmlns:v="urn:schemas-microsoft-com:vml" style="height:.05pt;mso-width-percent:1000" o:hr="true" o:hrstd="true" o:hralign="center" fillcolor="A0A0A0" stroked="false"/>
        </w:pict>
      </w:r>
    </w:p>
    <w:p>
      <w:pPr>
        <w:pStyle w:val="heading3"/>
      </w:pPr>
      <w:bookmarkStart w:name="return_and_destruction_of_confidential_information" w:id="6"/>
      <w:r>
        <w:t>Return and Destruction of Confidential Information</w:t>
      </w:r>
      <w:bookmarkEnd w:id="6"/>
    </w:p>
    <w:p>
      <w:r>
        <w:t>Upon written request, Recipient shall return or destroy all Confidential Information, except for electronic backup data not reasonably practicable to destroy. Recipient may retain one copy as required by law or bona fide retention policies.</w:t>
      </w:r>
    </w:p>
    <w:p>
      <w:r>
        <w:pict>
          <v:rect xmlns:o="urn:schemas-microsoft-com:office:office" xmlns:v="urn:schemas-microsoft-com:vml" style="height:.05pt;mso-width-percent:1000" o:hr="true" o:hrstd="true" o:hralign="center" fillcolor="A0A0A0" stroked="false"/>
        </w:pict>
      </w:r>
    </w:p>
    <w:p>
      <w:pPr>
        <w:pStyle w:val="heading3"/>
      </w:pPr>
      <w:bookmarkStart w:name="business_relationship" w:id="7"/>
      <w:r>
        <w:t>Business Relationship</w:t>
      </w:r>
      <w:bookmarkEnd w:id="7"/>
    </w:p>
    <w:p>
      <w:r>
        <w:t>No Party is obligated to enter into any Business Relationship unless a final written agreement is executed. This Agreement does not create agency, joint venture, or partnership.</w:t>
      </w:r>
    </w:p>
    <w:p>
      <w:r>
        <w:pict>
          <v:rect xmlns:o="urn:schemas-microsoft-com:office:office" xmlns:v="urn:schemas-microsoft-com:vml" style="height:.05pt;mso-width-percent:1000" o:hr="true" o:hrstd="true" o:hralign="center" fillcolor="A0A0A0" stroked="false"/>
        </w:pict>
      </w:r>
    </w:p>
    <w:p>
      <w:pPr>
        <w:pStyle w:val="heading3"/>
      </w:pPr>
      <w:bookmarkStart w:name="remedies" w:id="8"/>
      <w:r>
        <w:t>Remedies</w:t>
      </w:r>
      <w:bookmarkEnd w:id="8"/>
    </w:p>
    <w:p>
      <w:r>
        <w:t>A breach may cause irreparable harm. Disclosing Party may seek injunctive relief without proof of damages. Prevailing Party may recover costs and attorneys’ fees.</w:t>
      </w:r>
    </w:p>
    <w:p>
      <w:r>
        <w:pict>
          <v:rect xmlns:o="urn:schemas-microsoft-com:office:office" xmlns:v="urn:schemas-microsoft-com:vml" style="height:.05pt;mso-width-percent:1000" o:hr="true" o:hrstd="true" o:hralign="center" fillcolor="A0A0A0" stroked="false"/>
        </w:pict>
      </w:r>
    </w:p>
    <w:p>
      <w:pPr>
        <w:pStyle w:val="heading3"/>
      </w:pPr>
      <w:bookmarkStart w:name="term" w:id="9"/>
      <w:r>
        <w:t>Term</w:t>
      </w:r>
      <w:bookmarkEnd w:id="9"/>
    </w:p>
    <w:p>
      <w:r>
        <w:t>This Agreement remains in effect for three years from the date hereof.</w:t>
      </w:r>
    </w:p>
    <w:p>
      <w:r>
        <w:pict>
          <v:rect xmlns:o="urn:schemas-microsoft-com:office:office" xmlns:v="urn:schemas-microsoft-com:vml" style="height:.05pt;mso-width-percent:1000" o:hr="true" o:hrstd="true" o:hralign="center" fillcolor="A0A0A0" stroked="false"/>
        </w:pict>
      </w:r>
    </w:p>
    <w:p>
      <w:pPr>
        <w:pStyle w:val="heading3"/>
      </w:pPr>
      <w:bookmarkStart w:name="securities_laws" w:id="10"/>
      <w:r>
        <w:t>Securities Laws</w:t>
      </w:r>
      <w:bookmarkEnd w:id="10"/>
    </w:p>
    <w:p>
      <w:r>
        <w:t>Each Party understands that securities laws restrict trading based on material nonpublic information.</w:t>
      </w:r>
    </w:p>
    <w:p>
      <w:r>
        <w:pict>
          <v:rect xmlns:o="urn:schemas-microsoft-com:office:office" xmlns:v="urn:schemas-microsoft-com:vml" style="height:.05pt;mso-width-percent:1000" o:hr="true" o:hrstd="true" o:hralign="center" fillcolor="A0A0A0" stroked="false"/>
        </w:pict>
      </w:r>
    </w:p>
    <w:p>
      <w:pPr>
        <w:pStyle w:val="heading3"/>
      </w:pPr>
      <w:bookmarkStart w:name="export_restrictions" w:id="11"/>
      <w:r>
        <w:t>Export Restrictions</w:t>
      </w:r>
      <w:bookmarkEnd w:id="11"/>
    </w:p>
    <w:p>
      <w:r>
        <w:t>Confidential Information is subject to U.S. export laws. Recipient agrees not to export or re-export such information to prohibited destinations.</w:t>
      </w:r>
    </w:p>
    <w:p>
      <w:r>
        <w:pict>
          <v:rect xmlns:o="urn:schemas-microsoft-com:office:office" xmlns:v="urn:schemas-microsoft-com:vml" style="height:.05pt;mso-width-percent:1000" o:hr="true" o:hrstd="true" o:hralign="center" fillcolor="A0A0A0" stroked="false"/>
        </w:pict>
      </w:r>
    </w:p>
    <w:p>
      <w:pPr>
        <w:pStyle w:val="heading3"/>
      </w:pPr>
      <w:bookmarkStart w:name="no_waiver" w:id="12"/>
      <w:r>
        <w:t>No Waiver</w:t>
      </w:r>
      <w:bookmarkEnd w:id="12"/>
    </w:p>
    <w:p>
      <w:r>
        <w:t>Failure to exercise any right does not constitute waiver.</w:t>
      </w:r>
    </w:p>
    <w:p>
      <w:r>
        <w:pict>
          <v:rect xmlns:o="urn:schemas-microsoft-com:office:office" xmlns:v="urn:schemas-microsoft-com:vml" style="height:.05pt;mso-width-percent:1000" o:hr="true" o:hrstd="true" o:hralign="center" fillcolor="A0A0A0" stroked="false"/>
        </w:pict>
      </w:r>
    </w:p>
    <w:p>
      <w:pPr>
        <w:pStyle w:val="heading3"/>
      </w:pPr>
      <w:bookmarkStart w:name="waiver_amendment" w:id="13"/>
      <w:r>
        <w:t>Waiver; Amendment</w:t>
      </w:r>
      <w:bookmarkEnd w:id="13"/>
    </w:p>
    <w:p>
      <w:r>
        <w:t>No provision may be waived or amended except by written consent of both Parties.</w:t>
      </w:r>
    </w:p>
    <w:p>
      <w:r>
        <w:pict>
          <v:rect xmlns:o="urn:schemas-microsoft-com:office:office" xmlns:v="urn:schemas-microsoft-com:vml" style="height:.05pt;mso-width-percent:1000" o:hr="true" o:hrstd="true" o:hralign="center" fillcolor="A0A0A0" stroked="false"/>
        </w:pict>
      </w:r>
    </w:p>
    <w:p>
      <w:pPr>
        <w:pStyle w:val="heading3"/>
      </w:pPr>
      <w:bookmarkStart w:name="assignment" w:id="14"/>
      <w:r>
        <w:t>Assignment</w:t>
      </w:r>
      <w:bookmarkEnd w:id="14"/>
    </w:p>
    <w:p>
      <w:r>
        <w:t>This Agreement may not be assigned without written consent. It binds successors and permitted assigns.</w:t>
      </w:r>
    </w:p>
    <w:p>
      <w:r>
        <w:pict>
          <v:rect xmlns:o="urn:schemas-microsoft-com:office:office" xmlns:v="urn:schemas-microsoft-com:vml" style="height:.05pt;mso-width-percent:1000" o:hr="true" o:hrstd="true" o:hralign="center" fillcolor="A0A0A0" stroked="false"/>
        </w:pict>
      </w:r>
    </w:p>
    <w:p>
      <w:pPr>
        <w:pStyle w:val="heading3"/>
      </w:pPr>
      <w:bookmarkStart w:name="costs_and_expenses" w:id="15"/>
      <w:r>
        <w:t>Costs and Expenses</w:t>
      </w:r>
      <w:bookmarkEnd w:id="15"/>
    </w:p>
    <w:p>
      <w:r>
        <w:t>Each Party bears its own costs.</w:t>
      </w:r>
    </w:p>
    <w:p>
      <w:r>
        <w:pict>
          <v:rect xmlns:o="urn:schemas-microsoft-com:office:office" xmlns:v="urn:schemas-microsoft-com:vml" style="height:.05pt;mso-width-percent:1000" o:hr="true" o:hrstd="true" o:hralign="center" fillcolor="A0A0A0" stroked="false"/>
        </w:pict>
      </w:r>
    </w:p>
    <w:p>
      <w:pPr>
        <w:pStyle w:val="heading3"/>
      </w:pPr>
      <w:bookmarkStart w:name="severability" w:id="16"/>
      <w:r>
        <w:t>Severability</w:t>
      </w:r>
      <w:bookmarkEnd w:id="16"/>
    </w:p>
    <w:p>
      <w:r>
        <w:t>Invalid provisions do not affect remaining provisions.</w:t>
      </w:r>
    </w:p>
    <w:p>
      <w:r>
        <w:pict>
          <v:rect xmlns:o="urn:schemas-microsoft-com:office:office" xmlns:v="urn:schemas-microsoft-com:vml" style="height:.05pt;mso-width-percent:1000" o:hr="true" o:hrstd="true" o:hralign="center" fillcolor="A0A0A0" stroked="false"/>
        </w:pict>
      </w:r>
    </w:p>
    <w:p>
      <w:pPr>
        <w:pStyle w:val="heading3"/>
      </w:pPr>
      <w:bookmarkStart w:name="entire_agreement" w:id="17"/>
      <w:r>
        <w:t>Entire Agreement</w:t>
      </w:r>
      <w:bookmarkEnd w:id="17"/>
    </w:p>
    <w:p>
      <w:r>
        <w:t>This Agreement supersedes all prior agreements regarding confidentiality.</w:t>
      </w:r>
    </w:p>
    <w:p>
      <w:r>
        <w:pict>
          <v:rect xmlns:o="urn:schemas-microsoft-com:office:office" xmlns:v="urn:schemas-microsoft-com:vml" style="height:.05pt;mso-width-percent:1000" o:hr="true" o:hrstd="true" o:hralign="center" fillcolor="A0A0A0" stroked="false"/>
        </w:pict>
      </w:r>
    </w:p>
    <w:p>
      <w:pPr>
        <w:pStyle w:val="heading3"/>
      </w:pPr>
      <w:bookmarkStart w:name="notice" w:id="18"/>
      <w:r>
        <w:t>Notice</w:t>
      </w:r>
      <w:bookmarkEnd w:id="18"/>
    </w:p>
    <w:p>
      <w:r>
        <w:t>All notices shall be in writing and effective upon:</w:t>
      </w:r>
    </w:p>
    <w:p>
      <w:pPr>
        <w:pStyle w:val="ListParagraph"/>
        <w:numPr>
          <w:ilvl w:val="0"/>
          <w:numId w:val="2"/>
        </w:numPr>
      </w:pPr>
      <w:r>
        <w:t>(a) confirmed facsimile transmission,</w:t>
      </w:r>
    </w:p>
    <w:p>
      <w:pPr>
        <w:pStyle w:val="ListParagraph"/>
        <w:numPr>
          <w:ilvl w:val="0"/>
          <w:numId w:val="2"/>
        </w:numPr>
      </w:pPr>
      <w:r>
        <w:t>(b) three business days after mailing,</w:t>
      </w:r>
    </w:p>
    <w:p>
      <w:pPr>
        <w:pStyle w:val="ListParagraph"/>
        <w:numPr>
          <w:ilvl w:val="0"/>
          <w:numId w:val="2"/>
        </w:numPr>
      </w:pPr>
      <w:r>
        <w:t>(c) courier delivery,</w:t>
      </w:r>
    </w:p>
    <w:p>
      <w:pPr>
        <w:pStyle w:val="ListParagraph"/>
        <w:numPr>
          <w:ilvl w:val="0"/>
          <w:numId w:val="2"/>
        </w:numPr>
      </w:pPr>
      <w:r>
        <w:t>(d) personal delivery.</w:t>
      </w:r>
    </w:p>
    <w:p>
      <w:r>
        <w:rPr>
          <w:b/>
        </w:rPr>
        <w:t>Addresses:</w:t>
      </w:r>
    </w:p>
    <w:p>
      <w:r>
        <w:rPr>
          <w:b/>
        </w:rPr>
        <w:t>Bravemist Holdings LLC</w:t>
      </w:r>
      <w:r>
        <w:br/>
      </w:r>
      <w:r>
        <w:t>PO Box 118</w:t>
      </w:r>
      <w:r>
        <w:br/>
      </w:r>
      <w:r>
        <w:t>Edinburg, TX 78540</w:t>
      </w:r>
      <w:r>
        <w:br/>
      </w:r>
      <w:r>
        <w:t xml:space="preserve">Email: </w:t>
      </w:r>
      <w:r>
        <w:rPr>
          <w:b/>
        </w:rPr>
        <w:t>christopher@bravemistholdings.net</w:t>
      </w:r>
    </w:p>
    <w:p>
      <w:r>
        <w:rPr>
          <w:b/>
        </w:rPr>
        <w:t>Company</w:t>
      </w:r>
      <w:r>
        <w:br/>
      </w:r>
      <w:r>
        <w:t>7627 Bluemist Mountain Rd</w:t>
      </w:r>
      <w:r>
        <w:br/>
      </w:r>
      <w:r>
        <w:t>San Antonio, TX 78255</w:t>
      </w:r>
      <w:r>
        <w:br/>
      </w:r>
      <w:r>
        <w:t xml:space="preserve">With a copy to: Email: </w:t>
      </w:r>
      <w:r>
        <w:rPr>
          <w:b/>
        </w:rPr>
        <w:t>christopher@bravemistholdings.net</w:t>
      </w:r>
    </w:p>
    <w:p>
      <w:r>
        <w:pict>
          <v:rect xmlns:o="urn:schemas-microsoft-com:office:office" xmlns:v="urn:schemas-microsoft-com:vml" style="height:.05pt;mso-width-percent:1000" o:hr="true" o:hrstd="true" o:hralign="center" fillcolor="A0A0A0" stroked="false"/>
        </w:pict>
      </w:r>
    </w:p>
    <w:p>
      <w:pPr>
        <w:pStyle w:val="heading3"/>
      </w:pPr>
      <w:bookmarkStart w:name="governing_law" w:id="19"/>
      <w:r>
        <w:t>Governing Law</w:t>
      </w:r>
      <w:bookmarkEnd w:id="19"/>
    </w:p>
    <w:p>
      <w:r>
        <w:t>Texas law governs this Agreement.</w:t>
      </w:r>
    </w:p>
    <w:p>
      <w:r>
        <w:pict>
          <v:rect xmlns:o="urn:schemas-microsoft-com:office:office" xmlns:v="urn:schemas-microsoft-com:vml" style="height:.05pt;mso-width-percent:1000" o:hr="true" o:hrstd="true" o:hralign="center" fillcolor="A0A0A0" stroked="false"/>
        </w:pict>
      </w:r>
    </w:p>
    <w:p>
      <w:pPr>
        <w:pStyle w:val="heading3"/>
      </w:pPr>
      <w:bookmarkStart w:name="counterparts_signatures" w:id="20"/>
      <w:r>
        <w:t>Counterparts; Signatures</w:t>
      </w:r>
      <w:bookmarkEnd w:id="20"/>
    </w:p>
    <w:p>
      <w:r>
        <w:t>This Agreement may be executed in counterparts. Facsimile or scanned signatures are valid.</w:t>
      </w:r>
    </w:p>
    <w:p>
      <w:r>
        <w:pict>
          <v:rect xmlns:o="urn:schemas-microsoft-com:office:office" xmlns:v="urn:schemas-microsoft-com:vml" style="height:.05pt;mso-width-percent:1000" o:hr="true" o:hrstd="true" o:hralign="center" fillcolor="A0A0A0" stroked="false"/>
        </w:pict>
      </w:r>
    </w:p>
    <w:p>
      <w:pPr>
        <w:pStyle w:val="heading2"/>
      </w:pPr>
      <w:bookmarkStart w:name="in_witness_whereof" w:id="21"/>
      <w:r>
        <w:t>IN WITNESS WHEREOF</w:t>
      </w:r>
      <w:bookmarkEnd w:id="21"/>
    </w:p>
    <w:p>
      <w:r>
        <w:t>The Parties have executed this Agreement as of the date first above written.</w:t>
      </w:r>
    </w:p>
    <w:p>
      <w:r>
        <w:br/>
      </w:r>
      <w:r>
        <w:rPr>
          <w:b/>
        </w:rPr>
        <w:t>Name:</w:t>
      </w:r>
      <w:r>
        <w:t xml:space="preserve"> Christopher Moran</w:t>
      </w:r>
      <w:r>
        <w:br/>
      </w:r>
      <w:r>
        <w:rPr>
          <w:b/>
        </w:rPr>
        <w:t>Title:</w:t>
      </w:r>
      <w:r>
        <w:t xml:space="preserve"> Managing Member </w:t>
      </w:r>
      <w:r>
        <w:t>|</w:t>
      </w:r>
      <w:r>
        <w:t xml:space="preserve"> </w:t>
      </w:r>
      <w:r>
        <w:rPr>
          <w:b/>
        </w:rPr>
        <w:t>Signature:</w:t>
      </w:r>
      <w:r>
        <w:t xml:space="preserve"> </w:t>
      </w:r>
      <w:r>
        <w:rPr>
          <w:b/>
        </w:rPr>
        <w:t xml:space="preserve"> </w:t>
      </w:r>
      <w:r>
        <w:t xml:space="preserve"> </w:t>
      </w:r>
      <w:r>
        <w:t>_</w:t>
      </w:r>
      <w:r>
        <w:t>_</w:t>
      </w:r>
      <w:r>
        <w:br/>
      </w:r>
      <w:r>
        <w:rPr>
          <w:b/>
        </w:rPr>
        <w:t>Title:</w:t>
      </w:r>
      <w:r>
        <w:t xml:space="preserve"> </w:t>
      </w:r>
      <w:r>
        <w:t>_</w:t>
      </w:r>
      <w:r>
        <w:t>__________________</w:t>
      </w:r>
      <w:r>
        <w:t>_</w:t>
      </w:r>
    </w:p>
    <w:sectPr>
      <w:footerReference xmlns:r="http://schemas.openxmlformats.org/officeDocument/2006/relationships" w:type="default" r:id="footer1"/>
      <w:pgSz w:w="12240" w:h="15840"/>
      <w:pgMar w:top="1440" w:right="1440" w:bottom="1440" w:left="1440" w:header="540" w:footer="540" w:gutter="0"/>
    </w:sectPr>
  </w:body>
</w:document>
</file>

<file path=word/footer1.xml><?xml version="1.0" encoding="utf-8"?>
<w:ftr xmlns:w="http://schemas.openxmlformats.org/wordprocessingml/2006/main">
  <w:p>
    <w:pPr>
      <w:pStyle w:val="Footer"/>
      <w:ind w:left="4000"/>
    </w:pPr>
    <w:r>
      <w:drawing>
        <wp:anchor xmlns:wp="http://schemas.openxmlformats.org/drawingml/2006/wordprocessingDrawing" distT="0" distB="0" distL="114300" distR="114300" simplePos="0" relativeHeight="251658240" behindDoc="0" locked="0" layoutInCell="1" allowOverlap="1">
          <wp:simplePos x="0" y="0"/>
          <wp:positionH relativeFrom="column">
            <wp:posOffset>0</wp:posOffset>
          </wp:positionH>
          <wp:positionV relativeFrom="paragraph">
            <wp:posOffset>46990</wp:posOffset>
          </wp:positionV>
          <wp:extent cx="731520" cy="179705"/>
          <wp:effectExtent l="0" t="0" r="0" b="0"/>
          <wp:wrapSquare wrapText="bothSides"/>
          <wp:docPr id="20250715" name="Copilo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0715" name="Copilot Logo"/>
                  <pic:cNvPicPr/>
                </pic:nvPicPr>
                <pic:blipFill>
                  <a:blip xmlns:r="http://schemas.openxmlformats.org/officeDocument/2006/relationships" r:embed="copilotLogo1">
                    <a:extLst>
                      <a:ext uri="{28A0092B-C50C-407E-A947-70E740481C1C}"/>
                    </a:extLst>
                  </a:blip>
                  <a:stretch>
                    <a:fillRect/>
                  </a:stretch>
                </pic:blipFill>
                <pic:spPr>
                  <a:xfrm>
                    <a:off x="0" y="0"/>
                    <a:ext cx="731520" cy="179705"/>
                  </a:xfrm>
                  <a:prstGeom prst="rect">
                    <a:avLst/>
                  </a:prstGeom>
                </pic:spPr>
              </pic:pic>
            </a:graphicData>
          </a:graphic>
        </wp:anchor>
      </w:drawing>
    </w:r>
    <w:r>
      <w:rPr>
        <w:sz w:val="16"/>
      </w:rPr>
      <w:t>Copilot may make mistakes</w:t>
    </w:r>
    <w:r>
      <w:ptab w:alignment="right" w:relativeTo="margin" w:leader="none"/>
    </w:r>
    <w:r>
      <w:fldSimple w:instr="PAGE"/>
    </w:r>
  </w:p>
</w:ftr>
</file>

<file path=word/numbering.xml><?xml version="1.0" encoding="utf-8"?>
<w:numbering xmlns:w="http://schemas.openxmlformats.org/wordprocessingml/2006/main">
  <w:abstractNum w:abstractNumId="0">
    <w:multiLevelType w:val="multilevel"/>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abstractNum>
  <w:abstractNum w:abstractNumId="1">
    <w:multiLevelType w:val="multilevel"/>
    <w:lvl w:ilvl="0">
      <w:start w:val="1"/>
      <w:numFmt w:val="bullet"/>
      <w:lvlText w:val=""/>
      <w:lvlJc w:val="left"/>
      <w:pPr>
        <w:ind w:left="360" w:hanging="360"/>
      </w:pPr>
      <w:rPr>
        <w:rFonts w:hint="default" w:ascii="Symbol" w:hAnsi="Symbol"/>
      </w:rPr>
    </w:lvl>
    <w:lvl w:ilvl="1">
      <w:start w:val="1"/>
      <w:numFmt w:val="bullet"/>
      <w:lvlText w:val="o"/>
      <w:lvlJc w:val="left"/>
      <w:pPr>
        <w:ind w:left="720" w:hanging="360"/>
      </w:pPr>
      <w:rPr>
        <w:rFonts w:hint="default" w:ascii="Courier New" w:hAnsi="Courier New"/>
      </w:rPr>
    </w:lvl>
    <w:lvl w:ilvl="2">
      <w:start w:val="1"/>
      <w:numFmt w:val="bullet"/>
      <w:lvlText w:val=""/>
      <w:lvlJc w:val="left"/>
      <w:pPr>
        <w:ind w:left="1080" w:hanging="360"/>
      </w:pPr>
      <w:rPr>
        <w:rFonts w:hint="default" w:ascii="Wingdings" w:hAnsi="Wingdings"/>
      </w:rPr>
    </w:lvl>
  </w:abstractNum>
  <w:abstractNum w:abstractNumId="2">
    <w:multiLevelType w:val="multilevel"/>
    <w:lvl w:ilvl="0">
      <w:start w:val="1"/>
      <w:numFmt w:val="bullet"/>
      <w:lvlText w:val=""/>
      <w:lvlJc w:val="left"/>
      <w:pPr>
        <w:ind w:left="0"/>
      </w:pPr>
    </w:lvl>
    <w:lvl w:ilvl="1">
      <w:start w:val="1"/>
      <w:numFmt w:val="bullet"/>
      <w:lvlText w:val=""/>
      <w:lvlJc w:val="left"/>
      <w:pPr>
        <w:ind w:left="360"/>
      </w:pPr>
    </w:lvl>
    <w:lvl w:ilvl="2">
      <w:start w:val="1"/>
      <w:numFmt w:val="bullet"/>
      <w:lvlText w:val=""/>
      <w:lvlJc w:val="left"/>
      <w:pPr>
        <w:ind w:left="720"/>
      </w:pPr>
    </w:lvl>
  </w:abstractNum>
  <w:num w:numId="1">
    <w:abstractNumId w:val="1"/>
  </w:num>
  <w:num w:numId="2">
    <w:abstractNumId w:val="1"/>
  </w:num>
</w:numbering>
</file>

<file path=word/settings.xml><?xml version="1.0" encoding="utf-8"?>
<w:settings xmlns:w="http://schemas.openxmlformats.org/wordprocessingml/2006/main">
  <w:hideGrammaticalErrors/>
  <w:hideSpellingErrors/>
  <w:proofState w:spelling="clean" w:grammar="clean"/>
</w:settings>
</file>

<file path=word/styles.xml><?xml version="1.0" encoding="utf-8"?>
<w:styles xmlns:w="http://schemas.openxmlformats.org/wordprocessingml/2006/main">
  <w:docDefaults>
    <w:rPrDefault>
      <w:rPr>
        <w:sz w:val="24"/>
        <w:rFonts w:ascii="Arial" w:hAnsi="Arial"/>
      </w:rPr>
    </w:rPrDefault>
    <w:pPrDefault>
      <w:pPr>
        <w:spacing w:before="60" w:after="60" w:line="360" w:lineRule="auto"/>
      </w:pPr>
    </w:pPrDefault>
  </w:docDefaults>
  <w:style w:type="paragraph" w:styleId="Normal" w:default="true">
    <w:name w:val="Normal"/>
    <w:qFormat/>
  </w:style>
  <w:style w:type="paragraph" w:styleId="heading1">
    <w:name w:val="Heading 1"/>
    <w:basedOn w:val="Normal"/>
    <w:qFormat/>
    <w:rPr>
      <w:sz w:val="28"/>
      <w:b/>
    </w:rPr>
    <w:pPr>
      <w:spacing w:before="360"/>
    </w:pPr>
  </w:style>
  <w:style w:type="paragraph" w:styleId="heading2">
    <w:name w:val="Heading 2"/>
    <w:basedOn w:val="Normal"/>
    <w:qFormat/>
    <w:rPr>
      <w:sz w:val="24"/>
      <w:b/>
    </w:rPr>
    <w:pPr>
      <w:spacing w:before="360"/>
    </w:pPr>
  </w:style>
  <w:style w:type="paragraph" w:styleId="heading3">
    <w:name w:val="Heading 3"/>
    <w:qFormat/>
    <w:basedOn w:val="Normal"/>
    <w:rPr>
      <w:sz w:val="24"/>
      <w:b/>
    </w:rPr>
    <w:pPr>
      <w:spacing w:before="360"/>
    </w:pPr>
  </w:style>
  <w:style w:type="paragraph" w:styleId="ListParagraph">
    <w:name w:val="List Paragraph"/>
    <w:basedOn w:val="Normal"/>
    <w:qFormat/>
    <w:pPr>
      <w:ind w:left="360"/>
      <w:contextualSpacing/>
    </w:pPr>
  </w:style>
  <w:style w:type="character" w:styleId="Code" w:customStyle="true">
    <w:name w:val="Code"/>
    <w:basedOn w:val="Normal"/>
    <w:qFormat/>
    <w:rPr>
      <w:rFonts w:ascii="Consolas"/>
      <w:shd w:val="clear" w:color="auto" w:fill="E1E2E4"/>
    </w:rPr>
  </w:style>
  <w:style w:type="table" w:styleId="CodeBlock">
    <w:name w:val="Code Block"/>
    <w:qFormat/>
    <w:pPr>
      <w:spacing w:line="240" w:lineRule="auto"/>
    </w:pPr>
    <w:rPr>
      <w:sz w:val="20"/>
      <w:rFonts w:ascii="Consolas"/>
    </w:rPr>
    <w:tblPr>
      <w:jc w:val="left"/>
    </w:tblPr>
    <w:tcPr>
      <w:shd w:val="clear" w:color="auto" w:fill="E1E2E4"/>
      <w:tcMar>
        <w:top w:w="60" w:type="dxa"/>
        <w:left w:w="150" w:type="dxa"/>
        <w:bottom w:w="60" w:type="dxa"/>
        <w:right w:w="150" w:type="dxa"/>
      </w:tcMar>
    </w:tcPr>
  </w:style>
  <w:style w:type="table" w:styleId="TableGrid">
    <w:name w:val="Table Grid"/>
    <w:qFormat/>
    <w:rPr>
      <w:sz w:val="20"/>
    </w:rPr>
    <w:tblPr>
      <w:jc w:val="left"/>
      <w:tblW w:w="0" w:type="auto"/>
      <w:tblBorders>
        <w:top w:val="single" w:color="E8E0DC" w:sz="4" w:space="0"/>
        <w:left w:val="single" w:color="E8E0DC" w:sz="4" w:space="0"/>
        <w:bottom w:val="single" w:color="E8E0DC" w:sz="4" w:space="0"/>
        <w:right w:val="single" w:color="E8E0DC" w:sz="4" w:space="0"/>
        <w:insideH w:val="single" w:color="E8E0DC" w:sz="4" w:space="0"/>
        <w:insideV w:val="single" w:color="E8E0DC" w:sz="4" w:space="0"/>
      </w:tblBorders>
    </w:tblPr>
    <w:tcPr>
      <w:tcMar>
        <w:top w:w="90" w:type="dxa"/>
        <w:left w:w="120" w:type="dxa"/>
        <w:bottom w:w="0" w:type="dxa"/>
        <w:right w:w="120" w:type="dxa"/>
      </w:tcMar>
      <w:vAlign w:val="center"/>
    </w:tcPr>
    <w:tblStylePr w:type="firstRow">
      <w:tcPr>
        <w:shd w:val="clear" w:color="auto" w:fill="F4EFED"/>
      </w:tcPr>
    </w:tblStylePr>
  </w:style>
  <w:style w:type="paragraph" w:styleId="Title">
    <w:name w:val="Title"/>
    <w:basedOn w:val="Normal"/>
    <w:qFormat/>
    <w:rPr>
      <w:sz w:val="32"/>
      <w:b/>
    </w:rPr>
    <w:pPr>
      <w:jc w:val="center"/>
      <w:spacing w:before="240" w:after="240"/>
    </w:pPr>
  </w:style>
  <w:style w:type="character" w:styleId="Hyperlink">
    <w:name w:val="Hyperlink"/>
    <w:rPr>
      <w:color w:val="0563C1"/>
      <w:u w:val="single"/>
    </w:rPr>
  </w:style>
</w:styles>
</file>

<file path=word/_rels/document.xml.rels>&#65279;<?xml version="1.0" encoding="utf-8"?><Relationships xmlns="http://schemas.openxmlformats.org/package/2006/relationships"><Relationship Type="http://schemas.openxmlformats.org/officeDocument/2006/relationships/footer" Target="/word/footer1.xml" Id="footer1" /><Relationship Type="http://schemas.openxmlformats.org/officeDocument/2006/relationships/numbering" Target="/word/numbering.xml" Id="Rfb99dd643ac14df7" /><Relationship Type="http://schemas.openxmlformats.org/officeDocument/2006/relationships/settings" Target="/word/settings.xml" Id="Rd96fe733a90042a1" /><Relationship Type="http://schemas.openxmlformats.org/officeDocument/2006/relationships/styles" Target="/word/styles.xml" Id="Rb6272cbd98564a61" /></Relationships>
</file>

<file path=word/_rels/footer1.xml.rels>&#65279;<?xml version="1.0" encoding="utf-8"?><Relationships xmlns="http://schemas.openxmlformats.org/package/2006/relationships"><Relationship Type="http://schemas.openxmlformats.org/officeDocument/2006/relationships/image" Target="/media/image.png" Id="copilotLogo1" /></Relationships>
</file>